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1BE17" w14:textId="322A3278" w:rsidR="00F42640" w:rsidRPr="00C555E0" w:rsidRDefault="00916843" w:rsidP="00916843">
      <w:pPr>
        <w:jc w:val="center"/>
        <w:rPr>
          <w:b/>
          <w:bCs/>
          <w:color w:val="000000" w:themeColor="text1"/>
          <w:sz w:val="18"/>
          <w:szCs w:val="18"/>
        </w:rPr>
      </w:pPr>
      <w:r w:rsidRPr="00C555E0">
        <w:rPr>
          <w:b/>
          <w:bCs/>
          <w:color w:val="000000" w:themeColor="text1"/>
          <w:sz w:val="18"/>
          <w:szCs w:val="18"/>
        </w:rPr>
        <w:t>ТОЛИМЕКС</w:t>
      </w:r>
    </w:p>
    <w:p w14:paraId="17DEE7C2" w14:textId="3042A491" w:rsidR="00916843" w:rsidRPr="00C555E0" w:rsidRDefault="00F42640" w:rsidP="00916843">
      <w:pPr>
        <w:jc w:val="center"/>
        <w:rPr>
          <w:b/>
          <w:bCs/>
          <w:color w:val="000000" w:themeColor="text1"/>
          <w:sz w:val="18"/>
          <w:szCs w:val="18"/>
        </w:rPr>
      </w:pPr>
      <w:r w:rsidRPr="00C555E0">
        <w:rPr>
          <w:b/>
          <w:bCs/>
          <w:color w:val="000000" w:themeColor="text1"/>
          <w:sz w:val="18"/>
          <w:szCs w:val="18"/>
        </w:rPr>
        <w:t>Инструкция</w:t>
      </w:r>
    </w:p>
    <w:p w14:paraId="6FB62113" w14:textId="030566DB" w:rsidR="00F42640" w:rsidRPr="00C555E0" w:rsidRDefault="00F42640" w:rsidP="00916843">
      <w:pPr>
        <w:jc w:val="center"/>
        <w:rPr>
          <w:b/>
          <w:bCs/>
          <w:color w:val="000000" w:themeColor="text1"/>
          <w:sz w:val="18"/>
          <w:szCs w:val="18"/>
        </w:rPr>
      </w:pPr>
      <w:r w:rsidRPr="00C555E0">
        <w:rPr>
          <w:b/>
          <w:bCs/>
          <w:color w:val="000000" w:themeColor="text1"/>
          <w:sz w:val="18"/>
          <w:szCs w:val="18"/>
        </w:rPr>
        <w:t>по медицинскому применению лекарственного средства</w:t>
      </w:r>
    </w:p>
    <w:p w14:paraId="7D1CF818" w14:textId="13DB52DD" w:rsidR="00897096" w:rsidRPr="00C555E0" w:rsidRDefault="00897096" w:rsidP="00916843">
      <w:pPr>
        <w:jc w:val="center"/>
        <w:rPr>
          <w:b/>
          <w:bCs/>
          <w:color w:val="000000" w:themeColor="text1"/>
          <w:sz w:val="18"/>
          <w:szCs w:val="18"/>
        </w:rPr>
      </w:pPr>
    </w:p>
    <w:p w14:paraId="658CF2FC" w14:textId="18D78E2B" w:rsidR="00897096" w:rsidRPr="00C555E0" w:rsidRDefault="00897096" w:rsidP="004A1363">
      <w:pPr>
        <w:rPr>
          <w:color w:val="000000" w:themeColor="text1"/>
          <w:sz w:val="18"/>
          <w:szCs w:val="18"/>
        </w:rPr>
      </w:pPr>
      <w:r w:rsidRPr="00C555E0">
        <w:rPr>
          <w:b/>
          <w:bCs/>
          <w:color w:val="000000" w:themeColor="text1"/>
          <w:sz w:val="18"/>
          <w:szCs w:val="18"/>
        </w:rPr>
        <w:t>Торговое название:</w:t>
      </w:r>
      <w:r w:rsidRPr="00C555E0">
        <w:rPr>
          <w:color w:val="000000" w:themeColor="text1"/>
          <w:sz w:val="18"/>
          <w:szCs w:val="18"/>
        </w:rPr>
        <w:t xml:space="preserve"> </w:t>
      </w:r>
      <w:proofErr w:type="spellStart"/>
      <w:r w:rsidRPr="00C555E0">
        <w:rPr>
          <w:color w:val="000000" w:themeColor="text1"/>
          <w:sz w:val="18"/>
          <w:szCs w:val="18"/>
        </w:rPr>
        <w:t>Толимекс</w:t>
      </w:r>
      <w:proofErr w:type="spellEnd"/>
      <w:r w:rsidRPr="00C555E0">
        <w:rPr>
          <w:color w:val="000000" w:themeColor="text1"/>
          <w:sz w:val="18"/>
          <w:szCs w:val="18"/>
        </w:rPr>
        <w:t>.</w:t>
      </w:r>
    </w:p>
    <w:p w14:paraId="02063F70" w14:textId="507D8C60" w:rsidR="004A1363" w:rsidRPr="00C555E0" w:rsidRDefault="00897096" w:rsidP="004A1363">
      <w:pPr>
        <w:rPr>
          <w:color w:val="000000" w:themeColor="text1"/>
          <w:sz w:val="18"/>
          <w:szCs w:val="18"/>
          <w:shd w:val="clear" w:color="auto" w:fill="FFFFFF"/>
        </w:rPr>
      </w:pPr>
      <w:r w:rsidRPr="00C555E0">
        <w:rPr>
          <w:b/>
          <w:bCs/>
          <w:color w:val="000000" w:themeColor="text1"/>
          <w:sz w:val="18"/>
          <w:szCs w:val="18"/>
        </w:rPr>
        <w:t>Международное непатентованное название</w:t>
      </w:r>
      <w:r w:rsidRPr="00C555E0">
        <w:rPr>
          <w:color w:val="000000" w:themeColor="text1"/>
          <w:sz w:val="18"/>
          <w:szCs w:val="18"/>
        </w:rPr>
        <w:t xml:space="preserve">: </w:t>
      </w:r>
      <w:proofErr w:type="spellStart"/>
      <w:r w:rsidR="004A1363" w:rsidRPr="00C555E0">
        <w:rPr>
          <w:color w:val="000000" w:themeColor="text1"/>
          <w:sz w:val="18"/>
          <w:szCs w:val="18"/>
          <w:shd w:val="clear" w:color="auto" w:fill="FFFFFF"/>
        </w:rPr>
        <w:t>Толперизон</w:t>
      </w:r>
      <w:r w:rsidR="00853E9A" w:rsidRPr="00C555E0">
        <w:rPr>
          <w:color w:val="000000" w:themeColor="text1"/>
          <w:sz w:val="18"/>
          <w:szCs w:val="18"/>
          <w:shd w:val="clear" w:color="auto" w:fill="FFFFFF"/>
        </w:rPr>
        <w:t>а</w:t>
      </w:r>
      <w:proofErr w:type="spellEnd"/>
      <w:r w:rsidR="00853E9A" w:rsidRPr="00C555E0">
        <w:rPr>
          <w:color w:val="000000" w:themeColor="text1"/>
          <w:sz w:val="18"/>
          <w:szCs w:val="18"/>
          <w:shd w:val="clear" w:color="auto" w:fill="FFFFFF"/>
        </w:rPr>
        <w:t xml:space="preserve"> гидрохлорид.</w:t>
      </w:r>
    </w:p>
    <w:p w14:paraId="6D37B5B2" w14:textId="2D97346F" w:rsidR="004A1363" w:rsidRPr="00C555E0" w:rsidRDefault="004A1363" w:rsidP="00C23A0E">
      <w:pPr>
        <w:rPr>
          <w:b/>
          <w:bCs/>
          <w:i/>
          <w:color w:val="000000" w:themeColor="text1"/>
          <w:sz w:val="18"/>
          <w:szCs w:val="18"/>
        </w:rPr>
      </w:pPr>
      <w:r w:rsidRPr="00C555E0">
        <w:rPr>
          <w:b/>
          <w:bCs/>
          <w:color w:val="000000" w:themeColor="text1"/>
          <w:sz w:val="18"/>
          <w:szCs w:val="18"/>
          <w:shd w:val="clear" w:color="auto" w:fill="FFFFFF"/>
        </w:rPr>
        <w:t>Состав:</w:t>
      </w:r>
      <w:r w:rsidR="00C23A0E" w:rsidRPr="00C555E0">
        <w:rPr>
          <w:b/>
          <w:bCs/>
          <w:color w:val="000000" w:themeColor="text1"/>
          <w:sz w:val="18"/>
          <w:szCs w:val="18"/>
          <w:shd w:val="clear" w:color="auto" w:fill="FFFFFF"/>
        </w:rPr>
        <w:t xml:space="preserve">  </w:t>
      </w:r>
      <w:r w:rsidRPr="00C555E0">
        <w:rPr>
          <w:i/>
          <w:color w:val="000000" w:themeColor="text1"/>
          <w:sz w:val="18"/>
          <w:szCs w:val="18"/>
        </w:rPr>
        <w:t>Каждая 1 таблетка содержит:</w:t>
      </w:r>
    </w:p>
    <w:p w14:paraId="0D424F26" w14:textId="3B1E68B0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i/>
          <w:color w:val="000000" w:themeColor="text1"/>
          <w:sz w:val="18"/>
          <w:szCs w:val="18"/>
        </w:rPr>
        <w:t>Действующее вещество</w:t>
      </w:r>
      <w:r w:rsidRPr="00C555E0">
        <w:rPr>
          <w:color w:val="000000" w:themeColor="text1"/>
          <w:sz w:val="18"/>
          <w:szCs w:val="18"/>
        </w:rPr>
        <w:t xml:space="preserve">: </w:t>
      </w:r>
      <w:proofErr w:type="spellStart"/>
      <w:r w:rsidR="00C23A0E" w:rsidRPr="00C555E0">
        <w:rPr>
          <w:color w:val="000000" w:themeColor="text1"/>
          <w:sz w:val="18"/>
          <w:szCs w:val="18"/>
        </w:rPr>
        <w:t>толперизона</w:t>
      </w:r>
      <w:proofErr w:type="spellEnd"/>
      <w:r w:rsidR="00C23A0E" w:rsidRPr="00C555E0">
        <w:rPr>
          <w:color w:val="000000" w:themeColor="text1"/>
          <w:sz w:val="18"/>
          <w:szCs w:val="18"/>
        </w:rPr>
        <w:t xml:space="preserve"> гидрохлорид  </w:t>
      </w:r>
      <w:r w:rsidRPr="00C555E0">
        <w:rPr>
          <w:color w:val="000000" w:themeColor="text1"/>
          <w:sz w:val="18"/>
          <w:szCs w:val="18"/>
        </w:rPr>
        <w:t>150 мг;</w:t>
      </w:r>
    </w:p>
    <w:p w14:paraId="43E3246B" w14:textId="7B126839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proofErr w:type="gramStart"/>
      <w:r w:rsidRPr="00C555E0">
        <w:rPr>
          <w:i/>
          <w:color w:val="000000" w:themeColor="text1"/>
          <w:sz w:val="18"/>
          <w:szCs w:val="18"/>
        </w:rPr>
        <w:t>Вспомогательные вещества:</w:t>
      </w:r>
      <w:r w:rsidRPr="00C555E0">
        <w:rPr>
          <w:color w:val="000000" w:themeColor="text1"/>
          <w:sz w:val="18"/>
          <w:szCs w:val="18"/>
        </w:rPr>
        <w:t xml:space="preserve"> лимонной кислоты моногидрат </w:t>
      </w:r>
      <w:r w:rsidR="00C05D99">
        <w:rPr>
          <w:color w:val="000000" w:themeColor="text1"/>
          <w:sz w:val="18"/>
          <w:szCs w:val="18"/>
        </w:rPr>
        <w:t xml:space="preserve"> </w:t>
      </w:r>
      <w:r w:rsidRPr="00C555E0">
        <w:rPr>
          <w:color w:val="000000" w:themeColor="text1"/>
          <w:sz w:val="18"/>
          <w:szCs w:val="18"/>
        </w:rPr>
        <w:t xml:space="preserve">0,730 мг и 2,190 мг; кремния диоксид коллоидный 0,800 мг и 2,400 мг; стеариновая кислота 1,700 мг и 5,100 мг; тальк 4,500 мг и 13,500 мг; целлюлоза </w:t>
      </w:r>
      <w:r w:rsidR="00C05D99">
        <w:rPr>
          <w:color w:val="000000" w:themeColor="text1"/>
          <w:sz w:val="18"/>
          <w:szCs w:val="18"/>
        </w:rPr>
        <w:t xml:space="preserve"> </w:t>
      </w:r>
      <w:r w:rsidRPr="00C555E0">
        <w:rPr>
          <w:color w:val="000000" w:themeColor="text1"/>
          <w:sz w:val="18"/>
          <w:szCs w:val="18"/>
        </w:rPr>
        <w:t>микрокристаллическая 14,000 мг и 42,000 мг; крахмал кукурузный 29,770 мг и 89,310 мг; лактозы моногидрат 48,500 мг и 145,500 мг;</w:t>
      </w:r>
      <w:proofErr w:type="gramEnd"/>
    </w:p>
    <w:p w14:paraId="2BDE6EE3" w14:textId="228D88E5" w:rsidR="004A1363" w:rsidRPr="00C555E0" w:rsidRDefault="004A1363" w:rsidP="004A1363">
      <w:pPr>
        <w:textAlignment w:val="baseline"/>
        <w:outlineLvl w:val="2"/>
        <w:rPr>
          <w:b/>
          <w:bCs/>
          <w:color w:val="000000" w:themeColor="text1"/>
          <w:sz w:val="18"/>
          <w:szCs w:val="18"/>
        </w:rPr>
      </w:pPr>
      <w:r w:rsidRPr="00C555E0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7838993D" wp14:editId="0C7893F9">
            <wp:simplePos x="0" y="0"/>
            <wp:positionH relativeFrom="column">
              <wp:posOffset>-517414</wp:posOffset>
            </wp:positionH>
            <wp:positionV relativeFrom="paragraph">
              <wp:posOffset>280430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5E0">
        <w:rPr>
          <w:b/>
          <w:bCs/>
          <w:color w:val="000000" w:themeColor="text1"/>
          <w:sz w:val="18"/>
          <w:szCs w:val="18"/>
        </w:rPr>
        <w:t>Описание лекарственной формы</w:t>
      </w:r>
      <w:r w:rsidR="00C555E0" w:rsidRPr="00C555E0">
        <w:rPr>
          <w:b/>
          <w:bCs/>
          <w:color w:val="000000" w:themeColor="text1"/>
          <w:sz w:val="18"/>
          <w:szCs w:val="18"/>
        </w:rPr>
        <w:t>:</w:t>
      </w:r>
    </w:p>
    <w:p w14:paraId="54965DCD" w14:textId="67E430A0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Таблетки, покрытые пленочной оболочкой белого или почти белого цвета круглые, двояковыпуклые, со сл</w:t>
      </w:r>
      <w:r w:rsidR="00C23A0E" w:rsidRPr="00C555E0">
        <w:rPr>
          <w:color w:val="000000" w:themeColor="text1"/>
          <w:sz w:val="18"/>
          <w:szCs w:val="18"/>
        </w:rPr>
        <w:t>абым характерным запахом, т</w:t>
      </w:r>
      <w:r w:rsidRPr="00C555E0">
        <w:rPr>
          <w:color w:val="000000" w:themeColor="text1"/>
          <w:sz w:val="18"/>
          <w:szCs w:val="18"/>
        </w:rPr>
        <w:t>аблетки на изломе белого или почти белого цвета.</w:t>
      </w:r>
    </w:p>
    <w:p w14:paraId="5949A892" w14:textId="2AC9792F" w:rsidR="004A1363" w:rsidRPr="00C555E0" w:rsidRDefault="00C23A0E" w:rsidP="004A1363">
      <w:pPr>
        <w:textAlignment w:val="baseline"/>
        <w:rPr>
          <w:color w:val="000000" w:themeColor="text1"/>
          <w:sz w:val="18"/>
          <w:szCs w:val="18"/>
        </w:rPr>
      </w:pPr>
      <w:proofErr w:type="spellStart"/>
      <w:proofErr w:type="gramStart"/>
      <w:r w:rsidRPr="00C555E0">
        <w:rPr>
          <w:b/>
          <w:bCs/>
          <w:color w:val="000000" w:themeColor="text1"/>
          <w:sz w:val="18"/>
          <w:szCs w:val="18"/>
        </w:rPr>
        <w:t>Фармако</w:t>
      </w:r>
      <w:proofErr w:type="spellEnd"/>
      <w:r w:rsidR="00C555E0" w:rsidRPr="00C555E0">
        <w:rPr>
          <w:b/>
          <w:bCs/>
          <w:color w:val="000000" w:themeColor="text1"/>
          <w:sz w:val="18"/>
          <w:szCs w:val="18"/>
        </w:rPr>
        <w:t>-</w:t>
      </w:r>
      <w:r w:rsidRPr="00C555E0">
        <w:rPr>
          <w:b/>
          <w:bCs/>
          <w:color w:val="000000" w:themeColor="text1"/>
          <w:sz w:val="18"/>
          <w:szCs w:val="18"/>
        </w:rPr>
        <w:t>терапевтическая</w:t>
      </w:r>
      <w:proofErr w:type="gramEnd"/>
      <w:r w:rsidRPr="00C555E0">
        <w:rPr>
          <w:b/>
          <w:bCs/>
          <w:color w:val="000000" w:themeColor="text1"/>
          <w:sz w:val="18"/>
          <w:szCs w:val="18"/>
        </w:rPr>
        <w:t xml:space="preserve"> группа:</w:t>
      </w:r>
      <w:r w:rsidRPr="00C555E0">
        <w:rPr>
          <w:color w:val="000000" w:themeColor="text1"/>
          <w:sz w:val="18"/>
          <w:szCs w:val="18"/>
        </w:rPr>
        <w:t xml:space="preserve">  </w:t>
      </w:r>
      <w:proofErr w:type="spellStart"/>
      <w:r w:rsidR="004A1363" w:rsidRPr="00C555E0">
        <w:rPr>
          <w:color w:val="000000" w:themeColor="text1"/>
          <w:sz w:val="18"/>
          <w:szCs w:val="18"/>
        </w:rPr>
        <w:t>Миорелаксант</w:t>
      </w:r>
      <w:proofErr w:type="spellEnd"/>
      <w:r w:rsidR="004A1363" w:rsidRPr="00C555E0">
        <w:rPr>
          <w:color w:val="000000" w:themeColor="text1"/>
          <w:sz w:val="18"/>
          <w:szCs w:val="18"/>
        </w:rPr>
        <w:t xml:space="preserve"> центрального действия.</w:t>
      </w:r>
    </w:p>
    <w:p w14:paraId="0183E1DE" w14:textId="3B7CB773" w:rsidR="00C23A0E" w:rsidRPr="00C555E0" w:rsidRDefault="00C23A0E" w:rsidP="004A1363">
      <w:pPr>
        <w:textAlignment w:val="baseline"/>
        <w:rPr>
          <w:b/>
          <w:color w:val="000000" w:themeColor="text1"/>
          <w:sz w:val="18"/>
          <w:szCs w:val="18"/>
        </w:rPr>
      </w:pPr>
      <w:r w:rsidRPr="00C555E0">
        <w:rPr>
          <w:b/>
          <w:color w:val="000000" w:themeColor="text1"/>
          <w:sz w:val="18"/>
          <w:szCs w:val="18"/>
        </w:rPr>
        <w:t>Фармакологические свойства:</w:t>
      </w:r>
    </w:p>
    <w:p w14:paraId="723983ED" w14:textId="3A967A4A" w:rsidR="004A1363" w:rsidRPr="00C555E0" w:rsidRDefault="004A1363" w:rsidP="004A1363">
      <w:pPr>
        <w:rPr>
          <w:bCs/>
          <w:i/>
          <w:iCs/>
          <w:color w:val="000000" w:themeColor="text1"/>
          <w:sz w:val="18"/>
          <w:szCs w:val="18"/>
        </w:rPr>
      </w:pPr>
      <w:proofErr w:type="spellStart"/>
      <w:r w:rsidRPr="00C555E0">
        <w:rPr>
          <w:bCs/>
          <w:i/>
          <w:iCs/>
          <w:color w:val="000000" w:themeColor="text1"/>
          <w:sz w:val="18"/>
          <w:szCs w:val="18"/>
        </w:rPr>
        <w:t>Фармакокинетика</w:t>
      </w:r>
      <w:proofErr w:type="spellEnd"/>
      <w:r w:rsidR="00C23A0E" w:rsidRPr="00C555E0">
        <w:rPr>
          <w:bCs/>
          <w:i/>
          <w:iCs/>
          <w:color w:val="000000" w:themeColor="text1"/>
          <w:sz w:val="18"/>
          <w:szCs w:val="18"/>
        </w:rPr>
        <w:t>:</w:t>
      </w:r>
    </w:p>
    <w:p w14:paraId="23870520" w14:textId="77777777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 xml:space="preserve">После приема </w:t>
      </w:r>
      <w:proofErr w:type="spellStart"/>
      <w:r w:rsidRPr="00C555E0">
        <w:rPr>
          <w:color w:val="000000" w:themeColor="text1"/>
          <w:sz w:val="18"/>
          <w:szCs w:val="18"/>
        </w:rPr>
        <w:t>толперизон</w:t>
      </w:r>
      <w:proofErr w:type="spellEnd"/>
      <w:r w:rsidRPr="00C555E0">
        <w:rPr>
          <w:color w:val="000000" w:themeColor="text1"/>
          <w:sz w:val="18"/>
          <w:szCs w:val="18"/>
        </w:rPr>
        <w:t xml:space="preserve"> хорошо всасывается из желудочно-кишечного тракта. Максимальная концентрация достигается спустя 0,5-1 час, биологическая доступность составляет около 20%.</w:t>
      </w:r>
    </w:p>
    <w:p w14:paraId="4868508D" w14:textId="77777777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proofErr w:type="spellStart"/>
      <w:r w:rsidRPr="00C555E0">
        <w:rPr>
          <w:color w:val="000000" w:themeColor="text1"/>
          <w:sz w:val="18"/>
          <w:szCs w:val="18"/>
        </w:rPr>
        <w:t>Толперизон</w:t>
      </w:r>
      <w:proofErr w:type="spellEnd"/>
      <w:r w:rsidRPr="00C555E0">
        <w:rPr>
          <w:color w:val="000000" w:themeColor="text1"/>
          <w:sz w:val="18"/>
          <w:szCs w:val="18"/>
        </w:rPr>
        <w:t xml:space="preserve"> </w:t>
      </w:r>
      <w:proofErr w:type="spellStart"/>
      <w:r w:rsidRPr="00C555E0">
        <w:rPr>
          <w:color w:val="000000" w:themeColor="text1"/>
          <w:sz w:val="18"/>
          <w:szCs w:val="18"/>
        </w:rPr>
        <w:t>метаболизируется</w:t>
      </w:r>
      <w:proofErr w:type="spellEnd"/>
      <w:r w:rsidRPr="00C555E0">
        <w:rPr>
          <w:color w:val="000000" w:themeColor="text1"/>
          <w:sz w:val="18"/>
          <w:szCs w:val="18"/>
        </w:rPr>
        <w:t xml:space="preserve"> в печени и почках. Выводится с мочой в виде метаболитов (более чем в 99%).</w:t>
      </w:r>
    </w:p>
    <w:p w14:paraId="581C4590" w14:textId="739F7C16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Фармакологическая активность метаболитов неизвестна.</w:t>
      </w:r>
    </w:p>
    <w:p w14:paraId="1F10DE8B" w14:textId="50D1A329" w:rsidR="004A1363" w:rsidRPr="00C555E0" w:rsidRDefault="004A1363" w:rsidP="004A1363">
      <w:pPr>
        <w:rPr>
          <w:i/>
          <w:color w:val="000000" w:themeColor="text1"/>
          <w:sz w:val="18"/>
          <w:szCs w:val="18"/>
        </w:rPr>
      </w:pPr>
      <w:proofErr w:type="spellStart"/>
      <w:r w:rsidRPr="00C555E0">
        <w:rPr>
          <w:bCs/>
          <w:i/>
          <w:color w:val="000000" w:themeColor="text1"/>
          <w:sz w:val="18"/>
          <w:szCs w:val="18"/>
        </w:rPr>
        <w:t>Фармакодинамика</w:t>
      </w:r>
      <w:proofErr w:type="spellEnd"/>
      <w:r w:rsidR="00A31CBB" w:rsidRPr="00C555E0">
        <w:rPr>
          <w:bCs/>
          <w:i/>
          <w:color w:val="000000" w:themeColor="text1"/>
          <w:sz w:val="18"/>
          <w:szCs w:val="18"/>
        </w:rPr>
        <w:t>:</w:t>
      </w:r>
    </w:p>
    <w:p w14:paraId="6536425A" w14:textId="0E3AB833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proofErr w:type="spellStart"/>
      <w:r w:rsidRPr="00C555E0">
        <w:rPr>
          <w:color w:val="000000" w:themeColor="text1"/>
          <w:sz w:val="18"/>
          <w:szCs w:val="18"/>
        </w:rPr>
        <w:t>Миорелаксант</w:t>
      </w:r>
      <w:proofErr w:type="spellEnd"/>
      <w:r w:rsidRPr="00C555E0">
        <w:rPr>
          <w:color w:val="000000" w:themeColor="text1"/>
          <w:sz w:val="18"/>
          <w:szCs w:val="18"/>
        </w:rPr>
        <w:t xml:space="preserve"> центрального действия. Механизм действия полностью не выяснен. Обладает </w:t>
      </w:r>
      <w:proofErr w:type="spellStart"/>
      <w:r w:rsidRPr="00C555E0">
        <w:rPr>
          <w:color w:val="000000" w:themeColor="text1"/>
          <w:sz w:val="18"/>
          <w:szCs w:val="18"/>
        </w:rPr>
        <w:t>мембраностабилизирующим</w:t>
      </w:r>
      <w:proofErr w:type="spellEnd"/>
      <w:r w:rsidRPr="00C555E0">
        <w:rPr>
          <w:color w:val="000000" w:themeColor="text1"/>
          <w:sz w:val="18"/>
          <w:szCs w:val="18"/>
        </w:rPr>
        <w:t xml:space="preserve">, </w:t>
      </w:r>
      <w:r w:rsidR="00C555E0" w:rsidRPr="00C555E0">
        <w:rPr>
          <w:color w:val="000000" w:themeColor="text1"/>
          <w:sz w:val="18"/>
          <w:szCs w:val="18"/>
        </w:rPr>
        <w:t xml:space="preserve"> </w:t>
      </w:r>
      <w:proofErr w:type="spellStart"/>
      <w:r w:rsidRPr="00C555E0">
        <w:rPr>
          <w:color w:val="000000" w:themeColor="text1"/>
          <w:sz w:val="18"/>
          <w:szCs w:val="18"/>
        </w:rPr>
        <w:t>местноанестезирующим</w:t>
      </w:r>
      <w:proofErr w:type="spellEnd"/>
      <w:r w:rsidRPr="00C555E0">
        <w:rPr>
          <w:color w:val="000000" w:themeColor="text1"/>
          <w:sz w:val="18"/>
          <w:szCs w:val="18"/>
        </w:rPr>
        <w:t xml:space="preserve"> действием, тормозит проводимость импульсов в первичных афферентных волокнах и двигательных нейронах, что приводит к блокированию спинномозговых моно- и полисинаптических рефлексов. Также, вероятно, вторично тормозит выделение медиаторов путем торможения поступления Са</w:t>
      </w:r>
      <w:proofErr w:type="gramStart"/>
      <w:r w:rsidRPr="00C555E0">
        <w:rPr>
          <w:color w:val="000000" w:themeColor="text1"/>
          <w:sz w:val="18"/>
          <w:szCs w:val="18"/>
        </w:rPr>
        <w:t>2</w:t>
      </w:r>
      <w:proofErr w:type="gramEnd"/>
      <w:r w:rsidRPr="00C555E0">
        <w:rPr>
          <w:color w:val="000000" w:themeColor="text1"/>
          <w:sz w:val="18"/>
          <w:szCs w:val="18"/>
        </w:rPr>
        <w:t xml:space="preserve">+ в синапсы. В стволе мозга устраняет облегчение проведения возбуждения по ретикулоспинальному пути. Усиливает периферический кровоток независимо от влияния центральной нервной системы. В развитии этого эффекта играет роль слабый спазмолитический и </w:t>
      </w:r>
      <w:proofErr w:type="spellStart"/>
      <w:r w:rsidRPr="00C555E0">
        <w:rPr>
          <w:color w:val="000000" w:themeColor="text1"/>
          <w:sz w:val="18"/>
          <w:szCs w:val="18"/>
        </w:rPr>
        <w:t>адреноблокирующий</w:t>
      </w:r>
      <w:proofErr w:type="spellEnd"/>
      <w:r w:rsidRPr="00C555E0">
        <w:rPr>
          <w:color w:val="000000" w:themeColor="text1"/>
          <w:sz w:val="18"/>
          <w:szCs w:val="18"/>
        </w:rPr>
        <w:t xml:space="preserve"> эффект </w:t>
      </w:r>
      <w:proofErr w:type="spellStart"/>
      <w:r w:rsidRPr="00C555E0">
        <w:rPr>
          <w:color w:val="000000" w:themeColor="text1"/>
          <w:sz w:val="18"/>
          <w:szCs w:val="18"/>
        </w:rPr>
        <w:t>толперизона</w:t>
      </w:r>
      <w:proofErr w:type="spellEnd"/>
      <w:r w:rsidRPr="00C555E0">
        <w:rPr>
          <w:color w:val="000000" w:themeColor="text1"/>
          <w:sz w:val="18"/>
          <w:szCs w:val="18"/>
        </w:rPr>
        <w:t>.</w:t>
      </w:r>
    </w:p>
    <w:p w14:paraId="21E6FCA4" w14:textId="7DB931DF" w:rsidR="004A1363" w:rsidRPr="00C555E0" w:rsidRDefault="004A1363" w:rsidP="00C555E0">
      <w:pPr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 </w:t>
      </w:r>
      <w:r w:rsidRPr="00C555E0">
        <w:rPr>
          <w:b/>
          <w:bCs/>
          <w:color w:val="000000" w:themeColor="text1"/>
          <w:sz w:val="18"/>
          <w:szCs w:val="18"/>
        </w:rPr>
        <w:t>Показания к применению</w:t>
      </w:r>
      <w:r w:rsidR="00A31CBB" w:rsidRPr="00C555E0">
        <w:rPr>
          <w:b/>
          <w:bCs/>
          <w:color w:val="000000" w:themeColor="text1"/>
          <w:sz w:val="18"/>
          <w:szCs w:val="18"/>
        </w:rPr>
        <w:t>:</w:t>
      </w:r>
    </w:p>
    <w:p w14:paraId="59A268F3" w14:textId="67B4F5F2" w:rsidR="00A31CBB" w:rsidRPr="00C555E0" w:rsidRDefault="00A31CBB" w:rsidP="00C555E0">
      <w:pPr>
        <w:pStyle w:val="a4"/>
        <w:numPr>
          <w:ilvl w:val="0"/>
          <w:numId w:val="3"/>
        </w:numPr>
        <w:textAlignment w:val="baseline"/>
        <w:outlineLvl w:val="2"/>
        <w:rPr>
          <w:bCs/>
          <w:color w:val="000000" w:themeColor="text1"/>
          <w:sz w:val="18"/>
          <w:szCs w:val="18"/>
        </w:rPr>
      </w:pPr>
      <w:r w:rsidRPr="00C555E0">
        <w:rPr>
          <w:bCs/>
          <w:color w:val="000000" w:themeColor="text1"/>
          <w:sz w:val="18"/>
          <w:szCs w:val="18"/>
        </w:rPr>
        <w:t xml:space="preserve">Лечение патологически повышенного тонуса и спазмов поперечнополосатой </w:t>
      </w:r>
      <w:r w:rsidR="00C05D99" w:rsidRPr="00C555E0">
        <w:rPr>
          <w:bCs/>
          <w:color w:val="000000" w:themeColor="text1"/>
          <w:sz w:val="18"/>
          <w:szCs w:val="18"/>
        </w:rPr>
        <w:t>мускулатуры,</w:t>
      </w:r>
      <w:r w:rsidRPr="00C555E0">
        <w:rPr>
          <w:bCs/>
          <w:color w:val="000000" w:themeColor="text1"/>
          <w:sz w:val="18"/>
          <w:szCs w:val="18"/>
        </w:rPr>
        <w:t xml:space="preserve"> возникающих вследствие органических поражений ЦНС (поражение пирамидных путей, рассеянный склероз, мозговой инсульт, </w:t>
      </w:r>
      <w:proofErr w:type="spellStart"/>
      <w:r w:rsidRPr="00C555E0">
        <w:rPr>
          <w:bCs/>
          <w:color w:val="000000" w:themeColor="text1"/>
          <w:sz w:val="18"/>
          <w:szCs w:val="18"/>
        </w:rPr>
        <w:t>миелопатия</w:t>
      </w:r>
      <w:proofErr w:type="spellEnd"/>
      <w:r w:rsidRPr="00C555E0">
        <w:rPr>
          <w:bCs/>
          <w:color w:val="000000" w:themeColor="text1"/>
          <w:sz w:val="18"/>
          <w:szCs w:val="18"/>
        </w:rPr>
        <w:t xml:space="preserve">, </w:t>
      </w:r>
      <w:proofErr w:type="spellStart"/>
      <w:r w:rsidRPr="00C555E0">
        <w:rPr>
          <w:bCs/>
          <w:color w:val="000000" w:themeColor="text1"/>
          <w:sz w:val="18"/>
          <w:szCs w:val="18"/>
        </w:rPr>
        <w:t>энцефаломиелит</w:t>
      </w:r>
      <w:proofErr w:type="spellEnd"/>
      <w:r w:rsidRPr="00C555E0">
        <w:rPr>
          <w:bCs/>
          <w:color w:val="000000" w:themeColor="text1"/>
          <w:sz w:val="18"/>
          <w:szCs w:val="18"/>
        </w:rPr>
        <w:t xml:space="preserve"> и т.п.);</w:t>
      </w:r>
    </w:p>
    <w:p w14:paraId="46A121B2" w14:textId="6BFEDEF3" w:rsidR="00A31CBB" w:rsidRPr="00C555E0" w:rsidRDefault="00A31CBB" w:rsidP="00C555E0">
      <w:pPr>
        <w:pStyle w:val="a4"/>
        <w:numPr>
          <w:ilvl w:val="0"/>
          <w:numId w:val="3"/>
        </w:numPr>
        <w:textAlignment w:val="baseline"/>
        <w:outlineLvl w:val="2"/>
        <w:rPr>
          <w:bCs/>
          <w:color w:val="000000" w:themeColor="text1"/>
          <w:sz w:val="18"/>
          <w:szCs w:val="18"/>
        </w:rPr>
      </w:pPr>
      <w:proofErr w:type="spellStart"/>
      <w:r w:rsidRPr="00C555E0">
        <w:rPr>
          <w:bCs/>
          <w:color w:val="000000" w:themeColor="text1"/>
          <w:sz w:val="18"/>
          <w:szCs w:val="18"/>
        </w:rPr>
        <w:t>Миофасциальный</w:t>
      </w:r>
      <w:proofErr w:type="spellEnd"/>
      <w:r w:rsidRPr="00C555E0">
        <w:rPr>
          <w:bCs/>
          <w:color w:val="000000" w:themeColor="text1"/>
          <w:sz w:val="18"/>
          <w:szCs w:val="18"/>
        </w:rPr>
        <w:t xml:space="preserve"> болевой синдром средней и тяжелой степени (в </w:t>
      </w:r>
      <w:proofErr w:type="spellStart"/>
      <w:r w:rsidRPr="00C555E0">
        <w:rPr>
          <w:bCs/>
          <w:color w:val="000000" w:themeColor="text1"/>
          <w:sz w:val="18"/>
          <w:szCs w:val="18"/>
        </w:rPr>
        <w:t>т.ч</w:t>
      </w:r>
      <w:proofErr w:type="spellEnd"/>
      <w:r w:rsidRPr="00C555E0">
        <w:rPr>
          <w:bCs/>
          <w:color w:val="000000" w:themeColor="text1"/>
          <w:sz w:val="18"/>
          <w:szCs w:val="18"/>
        </w:rPr>
        <w:t>. мы</w:t>
      </w:r>
      <w:r w:rsidR="00C555E0" w:rsidRPr="00C555E0">
        <w:rPr>
          <w:bCs/>
          <w:color w:val="000000" w:themeColor="text1"/>
          <w:sz w:val="18"/>
          <w:szCs w:val="18"/>
        </w:rPr>
        <w:t xml:space="preserve">шечный спазм при </w:t>
      </w:r>
      <w:proofErr w:type="spellStart"/>
      <w:r w:rsidR="00C555E0" w:rsidRPr="00C555E0">
        <w:rPr>
          <w:bCs/>
          <w:color w:val="000000" w:themeColor="text1"/>
          <w:sz w:val="18"/>
          <w:szCs w:val="18"/>
        </w:rPr>
        <w:t>дорсопатиях</w:t>
      </w:r>
      <w:proofErr w:type="spellEnd"/>
      <w:r w:rsidR="00C555E0" w:rsidRPr="00C555E0">
        <w:rPr>
          <w:bCs/>
          <w:color w:val="000000" w:themeColor="text1"/>
          <w:sz w:val="18"/>
          <w:szCs w:val="18"/>
        </w:rPr>
        <w:t>), л</w:t>
      </w:r>
      <w:r w:rsidRPr="00C555E0">
        <w:rPr>
          <w:bCs/>
          <w:color w:val="000000" w:themeColor="text1"/>
          <w:sz w:val="18"/>
          <w:szCs w:val="18"/>
        </w:rPr>
        <w:t xml:space="preserve">ечение повышенного тонуса и мышечных спазмов, мышечных контрактур, сопровождающих заболевания органов движения (например, спондилез, спондилоартроз, цервикальные и </w:t>
      </w:r>
      <w:proofErr w:type="spellStart"/>
      <w:r w:rsidRPr="00C555E0">
        <w:rPr>
          <w:bCs/>
          <w:color w:val="000000" w:themeColor="text1"/>
          <w:sz w:val="18"/>
          <w:szCs w:val="18"/>
        </w:rPr>
        <w:t>люмбальные</w:t>
      </w:r>
      <w:proofErr w:type="spellEnd"/>
      <w:r w:rsidRPr="00C555E0">
        <w:rPr>
          <w:bCs/>
          <w:color w:val="000000" w:themeColor="text1"/>
          <w:sz w:val="18"/>
          <w:szCs w:val="18"/>
        </w:rPr>
        <w:t xml:space="preserve"> синдромы, артрозы крупных суставов);</w:t>
      </w:r>
    </w:p>
    <w:p w14:paraId="2E968753" w14:textId="5123DE4F" w:rsidR="00A31CBB" w:rsidRPr="00C555E0" w:rsidRDefault="00A31CBB" w:rsidP="00C555E0">
      <w:pPr>
        <w:pStyle w:val="a4"/>
        <w:numPr>
          <w:ilvl w:val="0"/>
          <w:numId w:val="3"/>
        </w:numPr>
        <w:textAlignment w:val="baseline"/>
        <w:outlineLvl w:val="2"/>
        <w:rPr>
          <w:bCs/>
          <w:color w:val="000000" w:themeColor="text1"/>
          <w:sz w:val="18"/>
          <w:szCs w:val="18"/>
        </w:rPr>
      </w:pPr>
      <w:r w:rsidRPr="00C555E0">
        <w:rPr>
          <w:bCs/>
          <w:color w:val="000000" w:themeColor="text1"/>
          <w:sz w:val="18"/>
          <w:szCs w:val="18"/>
        </w:rPr>
        <w:t>Восстановительное лечение после ортопедических и травматологических операций;</w:t>
      </w:r>
    </w:p>
    <w:p w14:paraId="5FD256F0" w14:textId="4CAB9041" w:rsidR="00A31CBB" w:rsidRPr="00C555E0" w:rsidRDefault="00A31CBB" w:rsidP="00C555E0">
      <w:pPr>
        <w:pStyle w:val="a4"/>
        <w:numPr>
          <w:ilvl w:val="0"/>
          <w:numId w:val="3"/>
        </w:numPr>
        <w:textAlignment w:val="baseline"/>
        <w:outlineLvl w:val="2"/>
        <w:rPr>
          <w:bCs/>
          <w:color w:val="000000" w:themeColor="text1"/>
          <w:sz w:val="18"/>
          <w:szCs w:val="18"/>
        </w:rPr>
      </w:pPr>
      <w:r w:rsidRPr="00C555E0">
        <w:rPr>
          <w:bCs/>
          <w:color w:val="000000" w:themeColor="text1"/>
          <w:sz w:val="18"/>
          <w:szCs w:val="18"/>
        </w:rPr>
        <w:t xml:space="preserve">В составе комбинированной терапии облитерирующих заболеваний сосудов (облитерирующий атеросклероз, диабетическая </w:t>
      </w:r>
      <w:proofErr w:type="spellStart"/>
      <w:r w:rsidRPr="00C555E0">
        <w:rPr>
          <w:bCs/>
          <w:color w:val="000000" w:themeColor="text1"/>
          <w:sz w:val="18"/>
          <w:szCs w:val="18"/>
        </w:rPr>
        <w:t>ангиопатия</w:t>
      </w:r>
      <w:proofErr w:type="spellEnd"/>
      <w:r w:rsidRPr="00C555E0">
        <w:rPr>
          <w:bCs/>
          <w:color w:val="000000" w:themeColor="text1"/>
          <w:sz w:val="18"/>
          <w:szCs w:val="18"/>
        </w:rPr>
        <w:t xml:space="preserve">, облитерирующий тромбангиит, болезнь </w:t>
      </w:r>
      <w:proofErr w:type="spellStart"/>
      <w:r w:rsidRPr="00C555E0">
        <w:rPr>
          <w:bCs/>
          <w:color w:val="000000" w:themeColor="text1"/>
          <w:sz w:val="18"/>
          <w:szCs w:val="18"/>
        </w:rPr>
        <w:t>Рейно</w:t>
      </w:r>
      <w:proofErr w:type="spellEnd"/>
      <w:r w:rsidRPr="00C555E0">
        <w:rPr>
          <w:bCs/>
          <w:color w:val="000000" w:themeColor="text1"/>
          <w:sz w:val="18"/>
          <w:szCs w:val="18"/>
        </w:rPr>
        <w:t>, диффузная склеродермия), заболевания, возникающие на основе расстройства иннервации сосудов (</w:t>
      </w:r>
      <w:proofErr w:type="spellStart"/>
      <w:r w:rsidRPr="00C555E0">
        <w:rPr>
          <w:bCs/>
          <w:color w:val="000000" w:themeColor="text1"/>
          <w:sz w:val="18"/>
          <w:szCs w:val="18"/>
        </w:rPr>
        <w:t>акроцианоз</w:t>
      </w:r>
      <w:proofErr w:type="spellEnd"/>
      <w:r w:rsidRPr="00C555E0">
        <w:rPr>
          <w:bCs/>
          <w:color w:val="000000" w:themeColor="text1"/>
          <w:sz w:val="18"/>
          <w:szCs w:val="18"/>
        </w:rPr>
        <w:t xml:space="preserve">, </w:t>
      </w:r>
      <w:proofErr w:type="spellStart"/>
      <w:r w:rsidRPr="00C555E0">
        <w:rPr>
          <w:bCs/>
          <w:color w:val="000000" w:themeColor="text1"/>
          <w:sz w:val="18"/>
          <w:szCs w:val="18"/>
        </w:rPr>
        <w:t>интермиттирующая</w:t>
      </w:r>
      <w:proofErr w:type="spellEnd"/>
      <w:r w:rsidRPr="00C555E0">
        <w:rPr>
          <w:bCs/>
          <w:color w:val="000000" w:themeColor="text1"/>
          <w:sz w:val="18"/>
          <w:szCs w:val="18"/>
        </w:rPr>
        <w:t xml:space="preserve"> ангионевротическая </w:t>
      </w:r>
      <w:proofErr w:type="spellStart"/>
      <w:r w:rsidRPr="00C555E0">
        <w:rPr>
          <w:bCs/>
          <w:color w:val="000000" w:themeColor="text1"/>
          <w:sz w:val="18"/>
          <w:szCs w:val="18"/>
        </w:rPr>
        <w:t>дисбазия</w:t>
      </w:r>
      <w:proofErr w:type="spellEnd"/>
      <w:r w:rsidRPr="00C555E0">
        <w:rPr>
          <w:bCs/>
          <w:color w:val="000000" w:themeColor="text1"/>
          <w:sz w:val="18"/>
          <w:szCs w:val="18"/>
        </w:rPr>
        <w:t>);</w:t>
      </w:r>
    </w:p>
    <w:p w14:paraId="235E2296" w14:textId="563E083A" w:rsidR="00A31CBB" w:rsidRPr="00C555E0" w:rsidRDefault="00A31CBB" w:rsidP="00C555E0">
      <w:pPr>
        <w:pStyle w:val="a4"/>
        <w:numPr>
          <w:ilvl w:val="0"/>
          <w:numId w:val="3"/>
        </w:numPr>
        <w:textAlignment w:val="baseline"/>
        <w:outlineLvl w:val="2"/>
        <w:rPr>
          <w:bCs/>
          <w:color w:val="000000" w:themeColor="text1"/>
          <w:sz w:val="18"/>
          <w:szCs w:val="18"/>
        </w:rPr>
      </w:pPr>
      <w:r w:rsidRPr="00C555E0">
        <w:rPr>
          <w:bCs/>
          <w:color w:val="000000" w:themeColor="text1"/>
          <w:sz w:val="18"/>
          <w:szCs w:val="18"/>
        </w:rPr>
        <w:t xml:space="preserve">Болезнь </w:t>
      </w:r>
      <w:proofErr w:type="spellStart"/>
      <w:r w:rsidRPr="00C555E0">
        <w:rPr>
          <w:bCs/>
          <w:color w:val="000000" w:themeColor="text1"/>
          <w:sz w:val="18"/>
          <w:szCs w:val="18"/>
        </w:rPr>
        <w:t>Литтля</w:t>
      </w:r>
      <w:proofErr w:type="spellEnd"/>
      <w:r w:rsidRPr="00C555E0">
        <w:rPr>
          <w:bCs/>
          <w:color w:val="000000" w:themeColor="text1"/>
          <w:sz w:val="18"/>
          <w:szCs w:val="18"/>
        </w:rPr>
        <w:t xml:space="preserve"> (ДЦП) и другие энцефалопатии, сопровождающиеся мышечной дистонией;</w:t>
      </w:r>
    </w:p>
    <w:p w14:paraId="6D618F75" w14:textId="49D94435" w:rsidR="00A31CBB" w:rsidRPr="00C555E0" w:rsidRDefault="00A31CBB" w:rsidP="00C555E0">
      <w:pPr>
        <w:pStyle w:val="a4"/>
        <w:numPr>
          <w:ilvl w:val="0"/>
          <w:numId w:val="3"/>
        </w:numPr>
        <w:textAlignment w:val="baseline"/>
        <w:outlineLvl w:val="2"/>
        <w:rPr>
          <w:bCs/>
          <w:color w:val="000000" w:themeColor="text1"/>
          <w:sz w:val="18"/>
          <w:szCs w:val="18"/>
        </w:rPr>
      </w:pPr>
      <w:r w:rsidRPr="00C555E0">
        <w:rPr>
          <w:bCs/>
          <w:color w:val="000000" w:themeColor="text1"/>
          <w:sz w:val="18"/>
          <w:szCs w:val="18"/>
        </w:rPr>
        <w:t xml:space="preserve">Посттромботические расстройства </w:t>
      </w:r>
      <w:proofErr w:type="spellStart"/>
      <w:r w:rsidRPr="00C555E0">
        <w:rPr>
          <w:bCs/>
          <w:color w:val="000000" w:themeColor="text1"/>
          <w:sz w:val="18"/>
          <w:szCs w:val="18"/>
        </w:rPr>
        <w:t>лимфообращения</w:t>
      </w:r>
      <w:proofErr w:type="spellEnd"/>
      <w:r w:rsidRPr="00C555E0">
        <w:rPr>
          <w:bCs/>
          <w:color w:val="000000" w:themeColor="text1"/>
          <w:sz w:val="18"/>
          <w:szCs w:val="18"/>
        </w:rPr>
        <w:t xml:space="preserve"> и венозного кровообращения,</w:t>
      </w:r>
    </w:p>
    <w:p w14:paraId="52C979D5" w14:textId="2AD31507" w:rsidR="00A31CBB" w:rsidRPr="00C555E0" w:rsidRDefault="00A31CBB" w:rsidP="00C555E0">
      <w:pPr>
        <w:pStyle w:val="a4"/>
        <w:numPr>
          <w:ilvl w:val="0"/>
          <w:numId w:val="3"/>
        </w:numPr>
        <w:textAlignment w:val="baseline"/>
        <w:outlineLvl w:val="2"/>
        <w:rPr>
          <w:bCs/>
          <w:color w:val="000000" w:themeColor="text1"/>
          <w:sz w:val="18"/>
          <w:szCs w:val="18"/>
        </w:rPr>
      </w:pPr>
      <w:r w:rsidRPr="00C555E0">
        <w:rPr>
          <w:bCs/>
          <w:color w:val="000000" w:themeColor="text1"/>
          <w:sz w:val="18"/>
          <w:szCs w:val="18"/>
        </w:rPr>
        <w:t>Экстрапирамидные расстройства (</w:t>
      </w:r>
      <w:proofErr w:type="spellStart"/>
      <w:r w:rsidRPr="00C555E0">
        <w:rPr>
          <w:bCs/>
          <w:color w:val="000000" w:themeColor="text1"/>
          <w:sz w:val="18"/>
          <w:szCs w:val="18"/>
        </w:rPr>
        <w:t>постэнцефалитный</w:t>
      </w:r>
      <w:proofErr w:type="spellEnd"/>
      <w:r w:rsidRPr="00C555E0">
        <w:rPr>
          <w:bCs/>
          <w:color w:val="000000" w:themeColor="text1"/>
          <w:sz w:val="18"/>
          <w:szCs w:val="18"/>
        </w:rPr>
        <w:t xml:space="preserve"> и атеросклеротический паркинсонизм);</w:t>
      </w:r>
    </w:p>
    <w:p w14:paraId="49FBECFD" w14:textId="4528799C" w:rsidR="00A31CBB" w:rsidRPr="00C555E0" w:rsidRDefault="00A31CBB" w:rsidP="00C555E0">
      <w:pPr>
        <w:pStyle w:val="a4"/>
        <w:numPr>
          <w:ilvl w:val="0"/>
          <w:numId w:val="3"/>
        </w:numPr>
        <w:textAlignment w:val="baseline"/>
        <w:outlineLvl w:val="2"/>
        <w:rPr>
          <w:bCs/>
          <w:color w:val="000000" w:themeColor="text1"/>
          <w:sz w:val="18"/>
          <w:szCs w:val="18"/>
        </w:rPr>
      </w:pPr>
      <w:r w:rsidRPr="00C555E0">
        <w:rPr>
          <w:bCs/>
          <w:color w:val="000000" w:themeColor="text1"/>
          <w:sz w:val="18"/>
          <w:szCs w:val="18"/>
        </w:rPr>
        <w:t>Лечение болезненного мышечного спазма.</w:t>
      </w:r>
    </w:p>
    <w:p w14:paraId="3EEFA0B9" w14:textId="76B3891A" w:rsidR="004A1363" w:rsidRPr="00C555E0" w:rsidRDefault="004A1363" w:rsidP="004A1363">
      <w:pPr>
        <w:textAlignment w:val="baseline"/>
        <w:outlineLvl w:val="2"/>
        <w:rPr>
          <w:b/>
          <w:bCs/>
          <w:color w:val="000000" w:themeColor="text1"/>
          <w:sz w:val="18"/>
          <w:szCs w:val="18"/>
        </w:rPr>
      </w:pPr>
      <w:r w:rsidRPr="00C555E0">
        <w:rPr>
          <w:b/>
          <w:bCs/>
          <w:color w:val="000000" w:themeColor="text1"/>
          <w:sz w:val="18"/>
          <w:szCs w:val="18"/>
        </w:rPr>
        <w:t>Противопоказания к применению</w:t>
      </w:r>
      <w:r w:rsidR="00A31CBB" w:rsidRPr="00C555E0">
        <w:rPr>
          <w:b/>
          <w:bCs/>
          <w:color w:val="000000" w:themeColor="text1"/>
          <w:sz w:val="18"/>
          <w:szCs w:val="18"/>
        </w:rPr>
        <w:t>:</w:t>
      </w:r>
    </w:p>
    <w:p w14:paraId="1A0A6ADA" w14:textId="23F6CEF2" w:rsidR="00A31CBB" w:rsidRPr="00C555E0" w:rsidRDefault="00A31CBB" w:rsidP="00C555E0">
      <w:pPr>
        <w:pStyle w:val="a4"/>
        <w:numPr>
          <w:ilvl w:val="0"/>
          <w:numId w:val="5"/>
        </w:num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п</w:t>
      </w:r>
      <w:r w:rsidR="004A1363" w:rsidRPr="00C555E0">
        <w:rPr>
          <w:color w:val="000000" w:themeColor="text1"/>
          <w:sz w:val="18"/>
          <w:szCs w:val="18"/>
        </w:rPr>
        <w:t xml:space="preserve">овышенная чувствительность к </w:t>
      </w:r>
      <w:r w:rsidRPr="00C555E0">
        <w:rPr>
          <w:color w:val="000000" w:themeColor="text1"/>
          <w:sz w:val="18"/>
          <w:szCs w:val="18"/>
        </w:rPr>
        <w:t>любому из компонентов препарата;</w:t>
      </w:r>
    </w:p>
    <w:p w14:paraId="6C9BA01E" w14:textId="7CF78A59" w:rsidR="00A31CBB" w:rsidRPr="00C555E0" w:rsidRDefault="00A31CBB" w:rsidP="00C555E0">
      <w:pPr>
        <w:pStyle w:val="a4"/>
        <w:numPr>
          <w:ilvl w:val="0"/>
          <w:numId w:val="5"/>
        </w:num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миастения;</w:t>
      </w:r>
    </w:p>
    <w:p w14:paraId="12FD6DDC" w14:textId="39147A18" w:rsidR="00A31CBB" w:rsidRPr="00C555E0" w:rsidRDefault="00A31CBB" w:rsidP="00C555E0">
      <w:pPr>
        <w:pStyle w:val="a4"/>
        <w:numPr>
          <w:ilvl w:val="0"/>
          <w:numId w:val="5"/>
        </w:num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беременность и период лактации;</w:t>
      </w:r>
    </w:p>
    <w:p w14:paraId="09F5BF90" w14:textId="462134C4" w:rsidR="004A1363" w:rsidRPr="00C555E0" w:rsidRDefault="004A1363" w:rsidP="00C555E0">
      <w:pPr>
        <w:pStyle w:val="a4"/>
        <w:numPr>
          <w:ilvl w:val="0"/>
          <w:numId w:val="5"/>
        </w:num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детский возраст до 3-х лет.</w:t>
      </w:r>
    </w:p>
    <w:p w14:paraId="33C2AF6F" w14:textId="59D98EEE" w:rsidR="004A1363" w:rsidRPr="00C555E0" w:rsidRDefault="00A31CBB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i/>
          <w:color w:val="000000" w:themeColor="text1"/>
          <w:sz w:val="18"/>
          <w:szCs w:val="18"/>
        </w:rPr>
        <w:t>Беременность  и период лактации:</w:t>
      </w:r>
      <w:r w:rsidRPr="00C555E0">
        <w:rPr>
          <w:color w:val="000000" w:themeColor="text1"/>
          <w:sz w:val="18"/>
          <w:szCs w:val="18"/>
        </w:rPr>
        <w:t xml:space="preserve"> </w:t>
      </w:r>
      <w:r w:rsidR="004A1363" w:rsidRPr="00C555E0">
        <w:rPr>
          <w:color w:val="000000" w:themeColor="text1"/>
          <w:sz w:val="18"/>
          <w:szCs w:val="18"/>
        </w:rPr>
        <w:t xml:space="preserve">Ввиду отсутствия данных о применении во время беременности и грудном вскармливании назначение препарата </w:t>
      </w:r>
      <w:proofErr w:type="spellStart"/>
      <w:r w:rsidR="003004AB" w:rsidRPr="00C555E0">
        <w:rPr>
          <w:color w:val="000000" w:themeColor="text1"/>
          <w:sz w:val="18"/>
          <w:szCs w:val="18"/>
        </w:rPr>
        <w:t>Толимекс</w:t>
      </w:r>
      <w:proofErr w:type="spellEnd"/>
      <w:r w:rsidR="003004AB" w:rsidRPr="00C555E0">
        <w:rPr>
          <w:color w:val="000000" w:themeColor="text1"/>
          <w:sz w:val="18"/>
          <w:szCs w:val="18"/>
        </w:rPr>
        <w:t xml:space="preserve"> </w:t>
      </w:r>
      <w:r w:rsidR="004A1363" w:rsidRPr="00C555E0">
        <w:rPr>
          <w:color w:val="000000" w:themeColor="text1"/>
          <w:sz w:val="18"/>
          <w:szCs w:val="18"/>
        </w:rPr>
        <w:t>в эти периоды не рекомендуется.</w:t>
      </w:r>
    </w:p>
    <w:p w14:paraId="4ED11109" w14:textId="77777777" w:rsidR="004A1363" w:rsidRPr="00C555E0" w:rsidRDefault="004A1363" w:rsidP="004A1363">
      <w:pPr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 </w:t>
      </w:r>
    </w:p>
    <w:p w14:paraId="45876CB2" w14:textId="0A4D2000" w:rsidR="004A1363" w:rsidRPr="00C555E0" w:rsidRDefault="004A1363" w:rsidP="004A1363">
      <w:pPr>
        <w:textAlignment w:val="baseline"/>
        <w:outlineLvl w:val="2"/>
        <w:rPr>
          <w:b/>
          <w:bCs/>
          <w:color w:val="000000" w:themeColor="text1"/>
          <w:sz w:val="18"/>
          <w:szCs w:val="18"/>
        </w:rPr>
      </w:pPr>
      <w:r w:rsidRPr="00C555E0">
        <w:rPr>
          <w:b/>
          <w:bCs/>
          <w:color w:val="000000" w:themeColor="text1"/>
          <w:sz w:val="18"/>
          <w:szCs w:val="18"/>
        </w:rPr>
        <w:t>Побочные действия</w:t>
      </w:r>
      <w:r w:rsidR="00A31CBB" w:rsidRPr="00C555E0">
        <w:rPr>
          <w:b/>
          <w:bCs/>
          <w:color w:val="000000" w:themeColor="text1"/>
          <w:sz w:val="18"/>
          <w:szCs w:val="18"/>
        </w:rPr>
        <w:t>:</w:t>
      </w:r>
    </w:p>
    <w:p w14:paraId="7761CE1D" w14:textId="77777777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Мышечная слабость, головная боль, артериальная гипотензия, тошнота, рвота, чувство дискомфорта в животе. При уменьшении дозы побочные явления обычно проходят.</w:t>
      </w:r>
    </w:p>
    <w:p w14:paraId="7E2D2C7C" w14:textId="10F8024C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В редких случаях встречаются аллергические реакции (кожный зуд, эритема, крапивница</w:t>
      </w:r>
      <w:r w:rsidR="00BE62E2" w:rsidRPr="00C555E0">
        <w:rPr>
          <w:color w:val="000000" w:themeColor="text1"/>
          <w:sz w:val="18"/>
          <w:szCs w:val="18"/>
        </w:rPr>
        <w:t xml:space="preserve">, </w:t>
      </w:r>
      <w:r w:rsidRPr="00C555E0">
        <w:rPr>
          <w:color w:val="000000" w:themeColor="text1"/>
          <w:sz w:val="18"/>
          <w:szCs w:val="18"/>
        </w:rPr>
        <w:t xml:space="preserve">ангионевротический отек, анафилактический шок, </w:t>
      </w:r>
      <w:proofErr w:type="spellStart"/>
      <w:r w:rsidRPr="00C555E0">
        <w:rPr>
          <w:color w:val="000000" w:themeColor="text1"/>
          <w:sz w:val="18"/>
          <w:szCs w:val="18"/>
        </w:rPr>
        <w:t>бронхоспазм</w:t>
      </w:r>
      <w:proofErr w:type="spellEnd"/>
      <w:r w:rsidRPr="00C555E0">
        <w:rPr>
          <w:color w:val="000000" w:themeColor="text1"/>
          <w:sz w:val="18"/>
          <w:szCs w:val="18"/>
        </w:rPr>
        <w:t>).</w:t>
      </w:r>
    </w:p>
    <w:p w14:paraId="66953F7E" w14:textId="2DD2A341" w:rsidR="004A1363" w:rsidRPr="00C555E0" w:rsidRDefault="004A1363" w:rsidP="00C555E0">
      <w:pPr>
        <w:rPr>
          <w:color w:val="000000" w:themeColor="text1"/>
          <w:sz w:val="18"/>
          <w:szCs w:val="18"/>
        </w:rPr>
      </w:pPr>
      <w:r w:rsidRPr="00C555E0">
        <w:rPr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 wp14:anchorId="71A0EA7B" wp14:editId="20EE0E33">
            <wp:simplePos x="0" y="0"/>
            <wp:positionH relativeFrom="column">
              <wp:posOffset>-309347</wp:posOffset>
            </wp:positionH>
            <wp:positionV relativeFrom="paragraph">
              <wp:posOffset>163969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5E0">
        <w:rPr>
          <w:b/>
          <w:bCs/>
          <w:color w:val="000000" w:themeColor="text1"/>
          <w:sz w:val="18"/>
          <w:szCs w:val="18"/>
        </w:rPr>
        <w:t>Лекарственное взаимодействие</w:t>
      </w:r>
      <w:r w:rsidR="00BE62E2" w:rsidRPr="00C555E0">
        <w:rPr>
          <w:b/>
          <w:bCs/>
          <w:color w:val="000000" w:themeColor="text1"/>
          <w:sz w:val="18"/>
          <w:szCs w:val="18"/>
        </w:rPr>
        <w:t>:</w:t>
      </w:r>
    </w:p>
    <w:p w14:paraId="06B1B0F9" w14:textId="21AFF0EF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 xml:space="preserve">Данных о взаимодействиях, ограничивающих применение препарата </w:t>
      </w:r>
      <w:proofErr w:type="spellStart"/>
      <w:r w:rsidR="003004AB" w:rsidRPr="00C555E0">
        <w:rPr>
          <w:color w:val="000000" w:themeColor="text1"/>
          <w:sz w:val="18"/>
          <w:szCs w:val="18"/>
        </w:rPr>
        <w:t>Толимекс</w:t>
      </w:r>
      <w:proofErr w:type="spellEnd"/>
      <w:r w:rsidR="003004AB" w:rsidRPr="00C555E0">
        <w:rPr>
          <w:color w:val="000000" w:themeColor="text1"/>
          <w:sz w:val="18"/>
          <w:szCs w:val="18"/>
        </w:rPr>
        <w:t xml:space="preserve">, </w:t>
      </w:r>
      <w:r w:rsidRPr="00C555E0">
        <w:rPr>
          <w:color w:val="000000" w:themeColor="text1"/>
          <w:sz w:val="18"/>
          <w:szCs w:val="18"/>
        </w:rPr>
        <w:t>не имеется.</w:t>
      </w:r>
    </w:p>
    <w:p w14:paraId="73E082F5" w14:textId="369698B5" w:rsidR="00BE62E2" w:rsidRPr="00C555E0" w:rsidRDefault="00BE62E2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Возможно применение препарата в комбинации с седативными, снотворными средствами и препаратами, содержащими этанол. Не усиливает влияние этанола на центральную нервную систему.</w:t>
      </w:r>
    </w:p>
    <w:p w14:paraId="7AFFBE57" w14:textId="77777777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proofErr w:type="spellStart"/>
      <w:r w:rsidRPr="00C555E0">
        <w:rPr>
          <w:color w:val="000000" w:themeColor="text1"/>
          <w:sz w:val="18"/>
          <w:szCs w:val="18"/>
        </w:rPr>
        <w:t>Толперизон</w:t>
      </w:r>
      <w:proofErr w:type="spellEnd"/>
      <w:r w:rsidRPr="00C555E0">
        <w:rPr>
          <w:color w:val="000000" w:themeColor="text1"/>
          <w:sz w:val="18"/>
          <w:szCs w:val="18"/>
        </w:rPr>
        <w:t xml:space="preserve"> усиливает действие </w:t>
      </w:r>
      <w:proofErr w:type="spellStart"/>
      <w:r w:rsidRPr="00C555E0">
        <w:rPr>
          <w:color w:val="000000" w:themeColor="text1"/>
          <w:sz w:val="18"/>
          <w:szCs w:val="18"/>
        </w:rPr>
        <w:t>нифлумовой</w:t>
      </w:r>
      <w:proofErr w:type="spellEnd"/>
      <w:r w:rsidRPr="00C555E0">
        <w:rPr>
          <w:color w:val="000000" w:themeColor="text1"/>
          <w:sz w:val="18"/>
          <w:szCs w:val="18"/>
        </w:rPr>
        <w:t xml:space="preserve"> кислоты, при одновременном применении этих препаратов может потребоваться снижение дозы </w:t>
      </w:r>
      <w:proofErr w:type="spellStart"/>
      <w:r w:rsidRPr="00C555E0">
        <w:rPr>
          <w:color w:val="000000" w:themeColor="text1"/>
          <w:sz w:val="18"/>
          <w:szCs w:val="18"/>
        </w:rPr>
        <w:t>нифлумовой</w:t>
      </w:r>
      <w:proofErr w:type="spellEnd"/>
      <w:r w:rsidRPr="00C555E0">
        <w:rPr>
          <w:color w:val="000000" w:themeColor="text1"/>
          <w:sz w:val="18"/>
          <w:szCs w:val="18"/>
        </w:rPr>
        <w:t xml:space="preserve"> кислоты.</w:t>
      </w:r>
    </w:p>
    <w:p w14:paraId="40361547" w14:textId="77777777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 xml:space="preserve">Средства для общей анестезии, периферические </w:t>
      </w:r>
      <w:proofErr w:type="spellStart"/>
      <w:r w:rsidRPr="00C555E0">
        <w:rPr>
          <w:color w:val="000000" w:themeColor="text1"/>
          <w:sz w:val="18"/>
          <w:szCs w:val="18"/>
        </w:rPr>
        <w:t>миорелаксанты</w:t>
      </w:r>
      <w:proofErr w:type="spellEnd"/>
      <w:r w:rsidRPr="00C555E0">
        <w:rPr>
          <w:color w:val="000000" w:themeColor="text1"/>
          <w:sz w:val="18"/>
          <w:szCs w:val="18"/>
        </w:rPr>
        <w:t xml:space="preserve">, психотропные препараты, </w:t>
      </w:r>
      <w:proofErr w:type="spellStart"/>
      <w:r w:rsidRPr="00C555E0">
        <w:rPr>
          <w:color w:val="000000" w:themeColor="text1"/>
          <w:sz w:val="18"/>
          <w:szCs w:val="18"/>
        </w:rPr>
        <w:t>клонидин</w:t>
      </w:r>
      <w:proofErr w:type="spellEnd"/>
      <w:r w:rsidRPr="00C555E0">
        <w:rPr>
          <w:color w:val="000000" w:themeColor="text1"/>
          <w:sz w:val="18"/>
          <w:szCs w:val="18"/>
        </w:rPr>
        <w:t xml:space="preserve"> - усиливают эффект </w:t>
      </w:r>
      <w:proofErr w:type="spellStart"/>
      <w:r w:rsidRPr="00C555E0">
        <w:rPr>
          <w:color w:val="000000" w:themeColor="text1"/>
          <w:sz w:val="18"/>
          <w:szCs w:val="18"/>
        </w:rPr>
        <w:t>толперизона</w:t>
      </w:r>
      <w:proofErr w:type="spellEnd"/>
      <w:r w:rsidRPr="00C555E0">
        <w:rPr>
          <w:color w:val="000000" w:themeColor="text1"/>
          <w:sz w:val="18"/>
          <w:szCs w:val="18"/>
        </w:rPr>
        <w:t>.</w:t>
      </w:r>
    </w:p>
    <w:p w14:paraId="7277FB6B" w14:textId="04CDBE6C" w:rsidR="004A1363" w:rsidRPr="00C555E0" w:rsidRDefault="00BE62E2" w:rsidP="00C555E0">
      <w:pPr>
        <w:rPr>
          <w:color w:val="000000" w:themeColor="text1"/>
          <w:sz w:val="18"/>
          <w:szCs w:val="18"/>
        </w:rPr>
      </w:pPr>
      <w:r w:rsidRPr="00C555E0">
        <w:rPr>
          <w:b/>
          <w:bCs/>
          <w:color w:val="000000" w:themeColor="text1"/>
          <w:sz w:val="18"/>
          <w:szCs w:val="18"/>
        </w:rPr>
        <w:t>Способ применения:</w:t>
      </w:r>
    </w:p>
    <w:p w14:paraId="7FF52197" w14:textId="77777777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Внутрь после еды, не разжевывая, запивая небольшим количеством воды.</w:t>
      </w:r>
    </w:p>
    <w:p w14:paraId="197DA105" w14:textId="62E4AC1B" w:rsidR="00BE62E2" w:rsidRPr="00C555E0" w:rsidRDefault="00BE62E2" w:rsidP="00BE62E2">
      <w:pPr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lastRenderedPageBreak/>
        <w:t xml:space="preserve">Взрослым и детям старше 14 лет: в начале лечения назначают по  50 мг 2–3 раза в сутки  в первые дни терапии, </w:t>
      </w:r>
      <w:r w:rsidR="00C555E0" w:rsidRPr="00C555E0">
        <w:rPr>
          <w:color w:val="000000" w:themeColor="text1"/>
          <w:sz w:val="18"/>
          <w:szCs w:val="18"/>
        </w:rPr>
        <w:t xml:space="preserve">затем </w:t>
      </w:r>
      <w:r w:rsidRPr="00C555E0">
        <w:rPr>
          <w:color w:val="000000" w:themeColor="text1"/>
          <w:sz w:val="18"/>
          <w:szCs w:val="18"/>
        </w:rPr>
        <w:t>по 150 мг до трех раз в сутки — при хорошей переносимости препарата в последующий период. Рекомендованная суточная доза в зависимости от индивидуальной потребности и переносимости препарата пациентом составляет 150-450 мг, разделенная на 3 приема.</w:t>
      </w:r>
    </w:p>
    <w:p w14:paraId="03970E58" w14:textId="77777777" w:rsidR="00BE62E2" w:rsidRPr="00C555E0" w:rsidRDefault="00BE62E2" w:rsidP="00BE62E2">
      <w:pPr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Детям от 6 до 14 лет: ежедневно 2-4 мг/кг массы тела, в три приёма.</w:t>
      </w:r>
    </w:p>
    <w:p w14:paraId="164A78FB" w14:textId="550DEB0F" w:rsidR="004A1363" w:rsidRPr="00C555E0" w:rsidRDefault="00BE62E2" w:rsidP="00BE62E2">
      <w:pPr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Детям от 3 до 6 лет: назначается внутрь в суточной дозе 5 мг/кг массы тела, распределенной на 3 приема.</w:t>
      </w:r>
    </w:p>
    <w:p w14:paraId="420FF27A" w14:textId="79AB866F" w:rsidR="004A1363" w:rsidRPr="00C555E0" w:rsidRDefault="004A1363" w:rsidP="004A1363">
      <w:pPr>
        <w:textAlignment w:val="baseline"/>
        <w:outlineLvl w:val="2"/>
        <w:rPr>
          <w:b/>
          <w:bCs/>
          <w:color w:val="000000" w:themeColor="text1"/>
          <w:sz w:val="18"/>
          <w:szCs w:val="18"/>
        </w:rPr>
      </w:pPr>
      <w:r w:rsidRPr="00C555E0">
        <w:rPr>
          <w:b/>
          <w:bCs/>
          <w:color w:val="000000" w:themeColor="text1"/>
          <w:sz w:val="18"/>
          <w:szCs w:val="18"/>
        </w:rPr>
        <w:t>Передозировка</w:t>
      </w:r>
      <w:r w:rsidR="00C555E0" w:rsidRPr="00C555E0">
        <w:rPr>
          <w:b/>
          <w:bCs/>
          <w:color w:val="000000" w:themeColor="text1"/>
          <w:sz w:val="18"/>
          <w:szCs w:val="18"/>
        </w:rPr>
        <w:t>:</w:t>
      </w:r>
    </w:p>
    <w:p w14:paraId="78D5FC1F" w14:textId="26D59736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 xml:space="preserve">Данных о передозировке препаратом </w:t>
      </w:r>
      <w:proofErr w:type="spellStart"/>
      <w:r w:rsidR="003004AB" w:rsidRPr="00C555E0">
        <w:rPr>
          <w:color w:val="000000" w:themeColor="text1"/>
          <w:sz w:val="18"/>
          <w:szCs w:val="18"/>
        </w:rPr>
        <w:t>Толимекс</w:t>
      </w:r>
      <w:proofErr w:type="spellEnd"/>
      <w:r w:rsidR="003004AB" w:rsidRPr="00C555E0">
        <w:rPr>
          <w:color w:val="000000" w:themeColor="text1"/>
          <w:sz w:val="18"/>
          <w:szCs w:val="18"/>
        </w:rPr>
        <w:t xml:space="preserve"> </w:t>
      </w:r>
      <w:r w:rsidR="00BE62E2" w:rsidRPr="00C555E0">
        <w:rPr>
          <w:color w:val="000000" w:themeColor="text1"/>
          <w:sz w:val="18"/>
          <w:szCs w:val="18"/>
        </w:rPr>
        <w:t>не поступало</w:t>
      </w:r>
      <w:r w:rsidRPr="00C555E0">
        <w:rPr>
          <w:color w:val="000000" w:themeColor="text1"/>
          <w:sz w:val="18"/>
          <w:szCs w:val="18"/>
        </w:rPr>
        <w:t>.</w:t>
      </w:r>
    </w:p>
    <w:p w14:paraId="44362E3E" w14:textId="44514F7A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Специфического антидота нет, при передозировке препаратом рекомендуется промывание желудка</w:t>
      </w:r>
      <w:r w:rsidR="00C555E0" w:rsidRPr="00C555E0">
        <w:rPr>
          <w:color w:val="000000" w:themeColor="text1"/>
          <w:sz w:val="18"/>
          <w:szCs w:val="18"/>
        </w:rPr>
        <w:t>,</w:t>
      </w:r>
      <w:r w:rsidRPr="00C555E0">
        <w:rPr>
          <w:color w:val="000000" w:themeColor="text1"/>
          <w:sz w:val="18"/>
          <w:szCs w:val="18"/>
        </w:rPr>
        <w:t xml:space="preserve"> симптоматическая терапия.</w:t>
      </w:r>
    </w:p>
    <w:p w14:paraId="1BDB7503" w14:textId="32028746" w:rsidR="004A1363" w:rsidRPr="00C555E0" w:rsidRDefault="004A1363" w:rsidP="00C555E0">
      <w:pPr>
        <w:rPr>
          <w:color w:val="000000" w:themeColor="text1"/>
          <w:sz w:val="18"/>
          <w:szCs w:val="18"/>
        </w:rPr>
      </w:pPr>
      <w:r w:rsidRPr="00C555E0">
        <w:rPr>
          <w:b/>
          <w:bCs/>
          <w:color w:val="000000" w:themeColor="text1"/>
          <w:sz w:val="18"/>
          <w:szCs w:val="18"/>
        </w:rPr>
        <w:t>Меры предосторожности</w:t>
      </w:r>
    </w:p>
    <w:p w14:paraId="4D24B25B" w14:textId="77777777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Применять строго по назначению врача во избежание осложнений!</w:t>
      </w:r>
    </w:p>
    <w:p w14:paraId="13DB24BA" w14:textId="6B16C7E2" w:rsidR="004A1363" w:rsidRPr="00C555E0" w:rsidRDefault="004A1363" w:rsidP="004A1363">
      <w:pPr>
        <w:textAlignment w:val="baseline"/>
        <w:rPr>
          <w:i/>
          <w:color w:val="000000" w:themeColor="text1"/>
          <w:sz w:val="18"/>
          <w:szCs w:val="18"/>
        </w:rPr>
      </w:pPr>
      <w:r w:rsidRPr="00C555E0">
        <w:rPr>
          <w:i/>
          <w:color w:val="000000" w:themeColor="text1"/>
          <w:sz w:val="18"/>
          <w:szCs w:val="18"/>
        </w:rPr>
        <w:t>Влияние на способность к вождению автотранспорта и управлению механизмами</w:t>
      </w:r>
      <w:r w:rsidR="00BE62E2" w:rsidRPr="00C555E0">
        <w:rPr>
          <w:i/>
          <w:color w:val="000000" w:themeColor="text1"/>
          <w:sz w:val="18"/>
          <w:szCs w:val="18"/>
        </w:rPr>
        <w:t>:</w:t>
      </w:r>
    </w:p>
    <w:p w14:paraId="3E3DE6A2" w14:textId="174B3E3A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Исследования не проводились, но за многолетнюю практику применения препарата таких сведений не поступало.</w:t>
      </w:r>
    </w:p>
    <w:p w14:paraId="18FC4340" w14:textId="77777777" w:rsidR="00BE62E2" w:rsidRPr="00C555E0" w:rsidRDefault="00BE62E2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b/>
          <w:color w:val="000000" w:themeColor="text1"/>
          <w:sz w:val="18"/>
          <w:szCs w:val="18"/>
        </w:rPr>
        <w:t>Форма выпуска:</w:t>
      </w:r>
      <w:r w:rsidRPr="00C555E0">
        <w:rPr>
          <w:color w:val="000000" w:themeColor="text1"/>
          <w:sz w:val="18"/>
          <w:szCs w:val="18"/>
        </w:rPr>
        <w:t xml:space="preserve"> </w:t>
      </w:r>
    </w:p>
    <w:p w14:paraId="4D313A7B" w14:textId="04BD84E2" w:rsidR="00BE62E2" w:rsidRPr="00C555E0" w:rsidRDefault="00BE62E2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Таблетки по 150 мг для приема внутрь, № 30 в упаковке.</w:t>
      </w:r>
    </w:p>
    <w:p w14:paraId="55476599" w14:textId="73CF60B1" w:rsidR="00BE62E2" w:rsidRPr="00C555E0" w:rsidRDefault="00BE62E2" w:rsidP="004A1363">
      <w:pPr>
        <w:textAlignment w:val="baseline"/>
        <w:rPr>
          <w:b/>
          <w:color w:val="000000" w:themeColor="text1"/>
          <w:sz w:val="18"/>
          <w:szCs w:val="18"/>
        </w:rPr>
      </w:pPr>
      <w:r w:rsidRPr="00C555E0">
        <w:rPr>
          <w:b/>
          <w:color w:val="000000" w:themeColor="text1"/>
          <w:sz w:val="18"/>
          <w:szCs w:val="18"/>
        </w:rPr>
        <w:t>Условия хранения:</w:t>
      </w:r>
    </w:p>
    <w:p w14:paraId="7F0F293A" w14:textId="244C3BC1" w:rsidR="00BE62E2" w:rsidRPr="00C555E0" w:rsidRDefault="00BE62E2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 xml:space="preserve">Хранить  при температуре не выше 25 </w:t>
      </w:r>
      <w:r w:rsidR="00C05D99">
        <w:rPr>
          <w:color w:val="000000" w:themeColor="text1"/>
          <w:sz w:val="18"/>
          <w:szCs w:val="18"/>
        </w:rPr>
        <w:t xml:space="preserve"> </w:t>
      </w:r>
      <w:r w:rsidRPr="00C555E0">
        <w:rPr>
          <w:color w:val="000000" w:themeColor="text1"/>
          <w:sz w:val="18"/>
          <w:szCs w:val="18"/>
        </w:rPr>
        <w:t>°С.</w:t>
      </w:r>
    </w:p>
    <w:p w14:paraId="67C59836" w14:textId="2A2C59AF" w:rsidR="004A1363" w:rsidRPr="00C555E0" w:rsidRDefault="004A1363" w:rsidP="004A1363">
      <w:pPr>
        <w:textAlignment w:val="baseline"/>
        <w:outlineLvl w:val="2"/>
        <w:rPr>
          <w:b/>
          <w:bCs/>
          <w:color w:val="000000" w:themeColor="text1"/>
          <w:sz w:val="18"/>
          <w:szCs w:val="18"/>
        </w:rPr>
      </w:pPr>
      <w:r w:rsidRPr="00C555E0">
        <w:rPr>
          <w:b/>
          <w:bCs/>
          <w:color w:val="000000" w:themeColor="text1"/>
          <w:sz w:val="18"/>
          <w:szCs w:val="18"/>
        </w:rPr>
        <w:t>Условия отпуска из аптек:</w:t>
      </w:r>
    </w:p>
    <w:p w14:paraId="226D34C6" w14:textId="260C4D4A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  <w:r w:rsidRPr="00C555E0">
        <w:rPr>
          <w:color w:val="000000" w:themeColor="text1"/>
          <w:sz w:val="18"/>
          <w:szCs w:val="18"/>
        </w:rPr>
        <w:t>По рецепту</w:t>
      </w:r>
      <w:r w:rsidR="00C555E0" w:rsidRPr="00C555E0">
        <w:rPr>
          <w:color w:val="000000" w:themeColor="text1"/>
          <w:sz w:val="18"/>
          <w:szCs w:val="18"/>
        </w:rPr>
        <w:t>.</w:t>
      </w:r>
    </w:p>
    <w:p w14:paraId="70F29B4D" w14:textId="02794820" w:rsidR="004A1363" w:rsidRPr="00C555E0" w:rsidRDefault="004A1363" w:rsidP="004A1363">
      <w:pPr>
        <w:textAlignment w:val="baseline"/>
        <w:rPr>
          <w:color w:val="000000" w:themeColor="text1"/>
          <w:sz w:val="18"/>
          <w:szCs w:val="18"/>
        </w:rPr>
      </w:pPr>
    </w:p>
    <w:p w14:paraId="77CFABEF" w14:textId="77777777" w:rsidR="004A1363" w:rsidRPr="00C555E0" w:rsidRDefault="004A1363" w:rsidP="004A1363">
      <w:pPr>
        <w:rPr>
          <w:b/>
          <w:bCs/>
          <w:sz w:val="18"/>
          <w:szCs w:val="18"/>
        </w:rPr>
      </w:pPr>
      <w:r w:rsidRPr="00C555E0">
        <w:rPr>
          <w:b/>
          <w:bCs/>
          <w:sz w:val="18"/>
          <w:szCs w:val="18"/>
        </w:rPr>
        <w:t>Произведено для:</w:t>
      </w:r>
    </w:p>
    <w:p w14:paraId="7503F664" w14:textId="77777777" w:rsidR="004A1363" w:rsidRPr="00C555E0" w:rsidRDefault="004A1363" w:rsidP="004A1363">
      <w:pPr>
        <w:rPr>
          <w:b/>
          <w:bCs/>
          <w:sz w:val="18"/>
          <w:szCs w:val="18"/>
        </w:rPr>
      </w:pPr>
      <w:r w:rsidRPr="00C555E0">
        <w:rPr>
          <w:b/>
          <w:bCs/>
          <w:sz w:val="18"/>
          <w:szCs w:val="18"/>
        </w:rPr>
        <w:t>MAXX-PHARM LTD.</w:t>
      </w:r>
    </w:p>
    <w:p w14:paraId="34106339" w14:textId="77777777" w:rsidR="004A1363" w:rsidRPr="00C555E0" w:rsidRDefault="004A1363" w:rsidP="004A1363">
      <w:pPr>
        <w:rPr>
          <w:b/>
          <w:bCs/>
          <w:sz w:val="18"/>
          <w:szCs w:val="18"/>
        </w:rPr>
      </w:pPr>
      <w:r w:rsidRPr="00C555E0">
        <w:rPr>
          <w:b/>
          <w:bCs/>
          <w:sz w:val="18"/>
          <w:szCs w:val="18"/>
        </w:rPr>
        <w:t>Лондон, Великобритания</w:t>
      </w:r>
    </w:p>
    <w:p w14:paraId="40FDE6F3" w14:textId="77777777" w:rsidR="00C555E0" w:rsidRPr="00C555E0" w:rsidRDefault="004A1363" w:rsidP="004A1363">
      <w:pPr>
        <w:rPr>
          <w:sz w:val="18"/>
          <w:szCs w:val="18"/>
        </w:rPr>
      </w:pPr>
      <w:r w:rsidRPr="00C555E0">
        <w:rPr>
          <w:rFonts w:ascii="Tahoma" w:hAnsi="Tahoma" w:cs="Tahoma"/>
          <w:sz w:val="18"/>
          <w:szCs w:val="18"/>
        </w:rPr>
        <w:t>﻿</w:t>
      </w:r>
    </w:p>
    <w:p w14:paraId="1D7CF5DE" w14:textId="5DF10C74" w:rsidR="00F42640" w:rsidRPr="004A1363" w:rsidRDefault="00F42640" w:rsidP="004A1363">
      <w:pP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p w14:paraId="0377B0EF" w14:textId="21CB7ECB" w:rsidR="00F42640" w:rsidRPr="004A1363" w:rsidRDefault="00F42640" w:rsidP="004A1363">
      <w:pP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16CBED8B" w14:textId="3735857E" w:rsidR="00F42640" w:rsidRPr="004A1363" w:rsidRDefault="00F42640" w:rsidP="004A1363">
      <w:pP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148DDD10" w14:textId="77777777" w:rsidR="00F42640" w:rsidRPr="004A1363" w:rsidRDefault="00F42640" w:rsidP="004A1363">
      <w:pPr>
        <w:rPr>
          <w:rFonts w:asciiTheme="minorHAnsi" w:hAnsiTheme="minorHAnsi" w:cstheme="minorHAnsi"/>
          <w:color w:val="000000" w:themeColor="text1"/>
        </w:rPr>
      </w:pPr>
    </w:p>
    <w:sectPr w:rsidR="00F42640" w:rsidRPr="004A1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2110B"/>
    <w:multiLevelType w:val="hybridMultilevel"/>
    <w:tmpl w:val="2CA4D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80C46"/>
    <w:multiLevelType w:val="hybridMultilevel"/>
    <w:tmpl w:val="C3DC52E0"/>
    <w:lvl w:ilvl="0" w:tplc="5FF49F0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636AB"/>
    <w:multiLevelType w:val="hybridMultilevel"/>
    <w:tmpl w:val="DF86C4D0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935531"/>
    <w:multiLevelType w:val="hybridMultilevel"/>
    <w:tmpl w:val="DD7A20C2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6C2505"/>
    <w:multiLevelType w:val="multilevel"/>
    <w:tmpl w:val="C7F0D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640"/>
    <w:rsid w:val="003004AB"/>
    <w:rsid w:val="004A1363"/>
    <w:rsid w:val="00805E74"/>
    <w:rsid w:val="00853E9A"/>
    <w:rsid w:val="00897096"/>
    <w:rsid w:val="00916843"/>
    <w:rsid w:val="00A31CBB"/>
    <w:rsid w:val="00B82CCA"/>
    <w:rsid w:val="00BE62E2"/>
    <w:rsid w:val="00C05D99"/>
    <w:rsid w:val="00C23A0E"/>
    <w:rsid w:val="00C555E0"/>
    <w:rsid w:val="00F4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085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40"/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4A136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1363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4A13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roduct-informationinfocontentblocktext">
    <w:name w:val="product-information__info__content__block__text"/>
    <w:basedOn w:val="a"/>
    <w:rsid w:val="004A136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31C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40"/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4A136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1363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4A13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roduct-informationinfocontentblocktext">
    <w:name w:val="product-information__info__content__block__text"/>
    <w:basedOn w:val="a"/>
    <w:rsid w:val="004A136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31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10</cp:revision>
  <dcterms:created xsi:type="dcterms:W3CDTF">2021-10-19T07:12:00Z</dcterms:created>
  <dcterms:modified xsi:type="dcterms:W3CDTF">2024-01-22T03:27:00Z</dcterms:modified>
</cp:coreProperties>
</file>