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E0" w:rsidRPr="00251D64" w:rsidRDefault="00B914E0" w:rsidP="00D605B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1D64">
        <w:rPr>
          <w:rFonts w:ascii="Times New Roman" w:hAnsi="Times New Roman" w:cs="Times New Roman"/>
          <w:b/>
          <w:sz w:val="20"/>
          <w:szCs w:val="20"/>
        </w:rPr>
        <w:t>РАБЕМАКС</w:t>
      </w:r>
    </w:p>
    <w:p w:rsidR="000220D9" w:rsidRDefault="00B914E0" w:rsidP="00D605B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1D64">
        <w:rPr>
          <w:rFonts w:ascii="Times New Roman" w:hAnsi="Times New Roman" w:cs="Times New Roman"/>
          <w:b/>
          <w:sz w:val="20"/>
          <w:szCs w:val="20"/>
        </w:rPr>
        <w:t>Инструкция</w:t>
      </w:r>
    </w:p>
    <w:p w:rsidR="00B914E0" w:rsidRPr="00251D64" w:rsidRDefault="00B914E0" w:rsidP="00D605B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51D64">
        <w:rPr>
          <w:rFonts w:ascii="Times New Roman" w:hAnsi="Times New Roman" w:cs="Times New Roman"/>
          <w:b/>
          <w:sz w:val="20"/>
          <w:szCs w:val="20"/>
        </w:rPr>
        <w:t>по медицинскому применению лекарственного средства</w:t>
      </w:r>
    </w:p>
    <w:p w:rsidR="00251D64" w:rsidRDefault="00251D64" w:rsidP="0010582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220D9" w:rsidRDefault="000220D9" w:rsidP="0010582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106E0" w:rsidRPr="00251D64" w:rsidRDefault="00B914E0" w:rsidP="0010582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0"/>
          <w:szCs w:val="20"/>
          <w:lang w:val="tg-Cyrl-TJ"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Торговое название</w:t>
      </w:r>
      <w:r w:rsidR="001106E0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  <w:r w:rsidR="00007959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bCs/>
          <w:sz w:val="20"/>
          <w:szCs w:val="20"/>
          <w:lang w:val="tg-Cyrl-TJ" w:eastAsia="ru-RU"/>
        </w:rPr>
        <w:t>Рабемакс.</w:t>
      </w:r>
    </w:p>
    <w:p w:rsidR="00B914E0" w:rsidRPr="00251D64" w:rsidRDefault="00B914E0" w:rsidP="0010582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val="tg-Cyrl-TJ"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Международное непатентованное название:</w:t>
      </w:r>
      <w:r w:rsidRPr="00251D64">
        <w:rPr>
          <w:rFonts w:ascii="Times New Roman" w:eastAsia="Times New Roman" w:hAnsi="Times New Roman" w:cs="Times New Roman"/>
          <w:bCs/>
          <w:sz w:val="20"/>
          <w:szCs w:val="20"/>
          <w:lang w:val="tg-Cyrl-TJ" w:eastAsia="ru-RU"/>
        </w:rPr>
        <w:t xml:space="preserve"> Рабепразол.</w:t>
      </w:r>
    </w:p>
    <w:p w:rsidR="001106E0" w:rsidRPr="00251D64" w:rsidRDefault="001106E0" w:rsidP="00B914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АТХ</w:t>
      </w:r>
      <w:r w:rsidR="00B914E0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: 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A02BC04</w:t>
      </w:r>
      <w:r w:rsidR="002326D5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.</w:t>
      </w:r>
      <w:r w:rsidRPr="00251D64">
        <w:rPr>
          <w:rFonts w:ascii="Times New Roman" w:eastAsia="Times New Roman" w:hAnsi="Times New Roman" w:cs="Times New Roman"/>
          <w:sz w:val="20"/>
          <w:szCs w:val="20"/>
          <w:u w:val="single"/>
          <w:bdr w:val="none" w:sz="0" w:space="0" w:color="auto" w:frame="1"/>
          <w:lang w:eastAsia="ru-RU"/>
        </w:rPr>
        <w:t xml:space="preserve"> </w:t>
      </w:r>
    </w:p>
    <w:p w:rsidR="001106E0" w:rsidRPr="00251D64" w:rsidRDefault="00B914E0" w:rsidP="00B914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proofErr w:type="gramStart"/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Фармако</w:t>
      </w:r>
      <w:proofErr w:type="spellEnd"/>
      <w:r w:rsidR="002326D5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терапевтическая</w:t>
      </w:r>
      <w:proofErr w:type="gramEnd"/>
      <w:r w:rsidR="001106E0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группа</w:t>
      </w: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: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Средство, понижающее секрецию желез желудка — протонного насоса ингибитор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.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</w:t>
      </w:r>
    </w:p>
    <w:p w:rsidR="00B914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Состав</w:t>
      </w:r>
      <w:r w:rsidR="00B914E0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  <w:r w:rsidR="00B914E0" w:rsidRPr="00251D64">
        <w:rPr>
          <w:rFonts w:ascii="Times New Roman" w:hAnsi="Times New Roman" w:cs="Times New Roman"/>
          <w:sz w:val="20"/>
          <w:szCs w:val="20"/>
        </w:rPr>
        <w:t xml:space="preserve"> </w:t>
      </w:r>
      <w:r w:rsidR="002326D5" w:rsidRPr="00251D6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Каждая</w:t>
      </w:r>
      <w:r w:rsidR="00B914E0" w:rsidRPr="00251D6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таблетка </w:t>
      </w:r>
      <w:proofErr w:type="gramStart"/>
      <w:r w:rsidR="00B914E0" w:rsidRPr="00251D6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кишечно-растворимая</w:t>
      </w:r>
      <w:proofErr w:type="gramEnd"/>
      <w:r w:rsidR="00B914E0" w:rsidRPr="00251D6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, покрытая оболочкой содержит: </w:t>
      </w:r>
    </w:p>
    <w:p w:rsidR="00B914E0" w:rsidRPr="00251D64" w:rsidRDefault="00B914E0" w:rsidP="00B914E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251D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рабепразол</w:t>
      </w:r>
      <w:proofErr w:type="spellEnd"/>
      <w:r w:rsidRPr="00251D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натрия – 20 мг.</w:t>
      </w:r>
    </w:p>
    <w:p w:rsidR="00B914E0" w:rsidRPr="00251D64" w:rsidRDefault="00B914E0" w:rsidP="00B914E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Лекарственная форма:</w:t>
      </w:r>
      <w:r w:rsidR="002326D5" w:rsidRPr="00251D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</w:t>
      </w:r>
      <w:r w:rsidRPr="00251D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аблетки кишечнорастворимые, покрытые оболочкой.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Фармакологическое действие</w:t>
      </w:r>
      <w:r w:rsidR="002326D5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1106E0" w:rsidRPr="00251D64" w:rsidRDefault="001106E0" w:rsidP="0010582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251D6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Фармакодинамика</w:t>
      </w:r>
      <w:proofErr w:type="spellEnd"/>
      <w:r w:rsidR="00B914E0" w:rsidRPr="00251D6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: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относится к классу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антисекреторных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веществ, производных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бензимидазола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Подавляет секрецию желудочного сока путем специфического ингибирования Н+/К</w:t>
      </w:r>
      <w:proofErr w:type="gram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+-</w:t>
      </w:r>
      <w:proofErr w:type="gram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АТФ</w:t>
      </w:r>
      <w:r w:rsidR="002326D5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азы на секреторной поверхности париетальных клеток желудка. Блокирует заключительную стадию секреции соляной кислоты, снижая базальную и стимулированную секрецию, независимо от природы раздражителя.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Антисекреторное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действие после перорального приема 20 мг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наступает в течение 1 ч и достигает максимума через 2–4 ч; угнетение базальной и стимулированной пищей секреции кислоты через 23 ч после приема первой дозы составляет 62 и 82% соответственно и продолжается до 48 ч. При прекращении приема секреторная активность восстанавливается в течение 1–2 дней.</w:t>
      </w:r>
      <w:proofErr w:type="gramEnd"/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первых 2–8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B914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ель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терапии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рабепразолом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концентрация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гастрина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плазме крови увеличивается (что является отражением ингибирующего влияния на секрецию соляной кислоты) и возвращается к исходным уровням через 1–2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2326D5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ели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после его отмены.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обладает антихолинергическими свойствами, не влияет на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ЦНС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,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ССС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и дыхательную систему.</w:t>
      </w:r>
    </w:p>
    <w:p w:rsidR="00B806C3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фоне приема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устойчивые изменения в морфологической структуре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энтерохромафинноподобных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клеток, степени выраженности гастрита, частоте атрофического гастрита, кишечной метаплазии или распространении инфекции 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Helicobacter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pylori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не обнаружены.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251D6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Фармакокинетика</w:t>
      </w:r>
      <w:proofErr w:type="spellEnd"/>
      <w:r w:rsidR="00B914E0" w:rsidRPr="00251D6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:</w:t>
      </w:r>
    </w:p>
    <w:p w:rsidR="001106E0" w:rsidRPr="00251D64" w:rsidRDefault="00177BD4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Абсорбция: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быстро абсорбируется из кишечника, и его 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в плазме достигаются примерно через 3,5 ч после приема дозы в 20 мг. Изменение 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в плазме и значений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носят линейный характер в диапазоне доз от 10 до 40 мг. Абсолютная биодоступность после перорального приема 20 мг (по сравнению с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в/</w:t>
      </w:r>
      <w:proofErr w:type="gramStart"/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</w:t>
      </w:r>
      <w:proofErr w:type="gram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введением) составляет около 52%. Кроме того, биодоступность не изменяется при многократном приеме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 У здоровых добровольцев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1/2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из плазмы составляет около 1 ч (варьируя от 0,7 до 1,5 ч), а суммарный клиренс составляет 3,8 мл/мин/кг. У пациентов с хроническим поражением печени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gram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увеличена</w:t>
      </w:r>
      <w:proofErr w:type="gram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вдвое по сравнению со здоровыми добровольцами, что свидетельствует о снижении метаболизма первого прохождения, а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1/2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из плазмы увеличен в 2–3 раза. Ни время приема препарата в течение суток, ни антациды не влияют на абсорбцию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Прием препарата с жирной пищей замедляет абсорбцию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4 ч и более, однако ни 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, ни степень абсорбции не изменяются.</w:t>
      </w:r>
    </w:p>
    <w:p w:rsidR="001106E0" w:rsidRPr="00251D64" w:rsidRDefault="002326D5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Распределение: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У человека степень связывания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белками плазмы составляет около 97%.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Метаболизм и выведение</w:t>
      </w:r>
      <w:r w:rsidR="002326D5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:</w:t>
      </w:r>
      <w:r w:rsidR="002326D5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 здоровых  людей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 приема однократной пероральной дозы 20 мг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perscript"/>
          <w:lang w:eastAsia="ru-RU"/>
        </w:rPr>
        <w:t>14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С-меченного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неизмененного препарата в моче найдено не было. Около 90%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выводится с мочой, главным образом в виде двух метаболитов: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конъюгата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меркаптуровой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кислоты (М5) и карбоновой кислоты (М</w:t>
      </w:r>
      <w:proofErr w:type="gram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proofErr w:type="gram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а также в форме двух неизвестных метаболитов, выявленных в ходе токсикологического анализа. Оставшаяся часть </w:t>
      </w:r>
      <w:proofErr w:type="gram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принятого</w:t>
      </w:r>
      <w:proofErr w:type="gram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выводится с калом. Суммарное выведение составляет 99,8%. Эти данные свидетельствуют о небольшом выведении метаболитов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желчью. Основным метаболитом является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тиоэфир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(М</w:t>
      </w:r>
      <w:proofErr w:type="gram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proofErr w:type="gram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Единственным активным метаболитом является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десметил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(М3), однако он наблюдался в низкой концентрации только у одного участника исследования после приема 80 мг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Терминальная</w:t>
      </w:r>
      <w:r w:rsidR="002326D5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стадия почечной недостаточност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и</w:t>
      </w:r>
      <w:r w:rsidR="002326D5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У пациентов со стабильной почечной недостаточностью в терминальной стадии, которым необходим поддерживающий гемодиализ (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Cl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креатинина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&lt;5 мл/мин/1,73м</w:t>
      </w:r>
      <w:proofErr w:type="gramStart"/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perscript"/>
          <w:lang w:eastAsia="ru-RU"/>
        </w:rPr>
        <w:t>2</w:t>
      </w:r>
      <w:proofErr w:type="gram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выведение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схоже с таковым у здоровых добровольцев.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и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у этих пациентов были примерно на 35% ниже, чем у здоровых добровольцев. В среднем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1/2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составлял 0,82 ч у здоровых добровольцев, 0,95 ч у пациентов во время гемодиализа и 3,6 ч после гемодиализа. Клиренс препарата у пациентов с заболеваниями почек, нуждающихся в гемодиализе, был приблизительно в два раза выше, чем у здоровых добровольцев.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Хро</w:t>
      </w:r>
      <w:r w:rsidR="002326D5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нический компенсированный цирроз печени: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Пациенты с хроническим компенсированным циррозом печени переносят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дозе 20 мг 1 раз в день, хотя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удвоена и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увеличена на 50% по сравнению с этими показателями у здоровых добровольцев соответствующего пола.</w:t>
      </w:r>
    </w:p>
    <w:p w:rsidR="001106E0" w:rsidRPr="00251D64" w:rsidRDefault="002326D5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Пожилые пациенты: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пожилых пациентов элиминация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несколько замедлена. После 7 дней приема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20 мг/сут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ки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 пожилых пациентов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была примерно вдвое больше, а 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повышена на 60% по сравнению с молодыми здоровыми добровольцами. Однако признаков кумуляции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отмечалось.</w:t>
      </w:r>
    </w:p>
    <w:p w:rsidR="001106E0" w:rsidRPr="00251D64" w:rsidRDefault="002326D5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CYP2C19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 полиморфизм: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У пациентов с замедленным метаболизмом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CYP2C19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после 7 дней приема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дозе 20 мг/сут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ки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увеличивается в 1,9 раза, а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1/2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— в 1,6 раза по сравнению с теми же параметрами </w:t>
      </w:r>
      <w:proofErr w:type="gram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быстрых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метаболизаторов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то время как 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увеличивается на 40%.</w:t>
      </w:r>
    </w:p>
    <w:p w:rsidR="001106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Показания</w:t>
      </w:r>
      <w:r w:rsidR="00B914E0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 применению: </w:t>
      </w: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1106E0" w:rsidRPr="00251D64" w:rsidRDefault="00B914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язвенная болезнь желудка в стадии обострения и язва анастомоза;</w:t>
      </w:r>
    </w:p>
    <w:p w:rsidR="001106E0" w:rsidRPr="00251D64" w:rsidRDefault="00B914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язвенная болезнь двенадцатиперстной кишки в стадии обострения;</w:t>
      </w:r>
    </w:p>
    <w:p w:rsidR="001106E0" w:rsidRPr="00251D64" w:rsidRDefault="00B914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эрозивная и язвенная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гастроэзофагеальная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рефлюксная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болезнь у взрослых и детей с 12 лет или рефлюкс-эзофагит;</w:t>
      </w:r>
    </w:p>
    <w:p w:rsidR="001106E0" w:rsidRPr="00251D64" w:rsidRDefault="00B914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поддерживающая терапия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гастроэзофагеальной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рефлюксной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болезни;</w:t>
      </w:r>
    </w:p>
    <w:p w:rsidR="001106E0" w:rsidRPr="00251D64" w:rsidRDefault="00B914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неэрозивная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гастроэзофагеальная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рефлюксная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болезнь;</w:t>
      </w:r>
    </w:p>
    <w:p w:rsidR="001106E0" w:rsidRPr="00251D64" w:rsidRDefault="00B914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синдром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Золлингера-Эллисона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другие состояния, характеризующиеся патологической гиперсекрецией;</w:t>
      </w:r>
    </w:p>
    <w:p w:rsidR="001106E0" w:rsidRPr="00251D64" w:rsidRDefault="00B914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комбинации с соответствующей антибактериальной терапией для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эрадикации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="001106E0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Helicobacter</w:t>
      </w:r>
      <w:proofErr w:type="spellEnd"/>
      <w:r w:rsidR="001106E0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1106E0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pylori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у пациентов с язвенной болезнью.</w:t>
      </w:r>
    </w:p>
    <w:p w:rsidR="001106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Противопоказания</w:t>
      </w:r>
    </w:p>
    <w:p w:rsidR="001106E0" w:rsidRPr="00251D64" w:rsidRDefault="002B780B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гиперчувствительность к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рабепразолу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замещенным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бензимидазолам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вспомогательным компонентам препарата;</w:t>
      </w:r>
    </w:p>
    <w:p w:rsidR="001106E0" w:rsidRPr="00251D64" w:rsidRDefault="002B780B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дефицит сахаразы/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изомальтазы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непереносимость фруктозы,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глюкозо-галактозная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недостаточность;</w:t>
      </w:r>
    </w:p>
    <w:p w:rsidR="001106E0" w:rsidRPr="00251D64" w:rsidRDefault="002B780B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беременность;</w:t>
      </w:r>
    </w:p>
    <w:p w:rsidR="001106E0" w:rsidRPr="00251D64" w:rsidRDefault="002B780B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период грудного вскармливания;</w:t>
      </w:r>
    </w:p>
    <w:p w:rsidR="001106E0" w:rsidRPr="00251D64" w:rsidRDefault="002B780B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дети до 18 лет, за исключением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ГЭРБ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(дети до 12 лет).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 осторожностью: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тяжелая почечная недостаточность; тяжелая печеночная недостаточность.</w:t>
      </w:r>
    </w:p>
    <w:p w:rsidR="001106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Применение при беременности и кормлении грудью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Данных по безопасности применения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 время беременности нет.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Исследования репродуктивности на крысах и кроликах не выявили признаков нарушения фертильности или дефектов развития плода, обусловленных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рабепразолом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однако у крыс в небольших количествах препарат проникает через плацентарный барьер. </w:t>
      </w:r>
      <w:r w:rsidR="00F1011C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Р</w:t>
      </w:r>
      <w:r w:rsidR="00007959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абемакс</w:t>
      </w:r>
      <w:r w:rsidR="00F1011C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противопоказан при беременности.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Неизвестно, выделяется ли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грудным молоком.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Соответствующие исследования по применению препарата в период грудного вскармливания не проводились. Вместе с тем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обнаружен в молоке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лактирующих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крыс, и поэтому его нельзя применять женщинам в период грудного вскармливания.</w:t>
      </w:r>
    </w:p>
    <w:p w:rsidR="001106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Побочные действия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ходе клинических исследований отмечались следующие нежелательные реакции при приеме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: головная боль, головокружение, астения, боль в животе, диарея, метеоризм, сухость во рту, сыпь.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Нежелательные реакции систематизированы в соответствии с классификацией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ВОЗ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: очень часто (≥1/10); часто (≥1/100, &lt;1/10); нечасто (≥1/1000, &lt;1/100); редко (≥1/10000, &lt;1/1000); очень редко (&lt;1/10000); частота неизвестна (невозможно определить исходя из доступных данных).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иммунной системы: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редко — острые системные аллергические реакции (включая отек лица, гипотонию, одышку).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крови и лимфатической системы: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редко  — тромбоцитопения,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нейтропения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, лейкопения.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обмена веществ и питания: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редко — анорексия; частота неизвестна —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гипонатриемия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гипомагниемия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нервной системы: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часто — бессонница, головная боль, головокружение; нечасто – сонливость, нервозность; редко — депрессия; частота неизвестна — спутанность сознания.</w:t>
      </w:r>
      <w:proofErr w:type="gramEnd"/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органа зрения: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редко — нарушение зрения.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сосудов: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частота неизвестна — периферический отек.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дыхательной системы: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часто — кашель, фарингит, ринит; нечасто — синусит, бронхит.</w:t>
      </w:r>
      <w:proofErr w:type="gramEnd"/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пищеварительной системы: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часто — боль в животе, диарея, метеоризм, тошнота, рвота, запор; нечасто — диспепсия, отрыжка, сухость во рту; редко — стоматит, гастрит, нарушение вкуса.</w:t>
      </w:r>
      <w:proofErr w:type="gramEnd"/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гепатобилиарной системы: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редко — гепатит, желтуха, печеночная энцефалопатия.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почек и мочевыводящих путей: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нечасто — инфекция мочевыводящих путей; редко — интерстициальный нефрит.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Со стороны кожи и подкожных тканей: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редко — буллезные высыпания, крапивница; очень редко —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мультиформная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эритема, токсический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эпидермальный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некролиз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синдром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Стивенса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-Джонсона.</w:t>
      </w:r>
    </w:p>
    <w:p w:rsidR="001106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Взаимодействие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Замедляет выведение некоторых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ЛС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метаболизирующихся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печени путем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микросомального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окисления (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диазепам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фенитоин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, непрямые антикоагулянты).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Совместное применение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кетоконазолом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итраконазолом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может привести к значительному снижению концентрации противогрибковых препаратов в плазме крови.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 рекомендуется совместное применение ингибиторов протонной помпы (ИПП) с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атаназавиром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т.к. значительно снижаются эффекты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атаназавира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ингибирует метаболизм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циклоспорина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одновременном приеме ИПП и метотрексата можно предположить повышение концентрации последнего и/или его метаболита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гидроксиметотрексата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увеличение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1/2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одновременном применении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амоксициллина и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кларитромицина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показатели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и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для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кларитромицина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амоксициллина были схожими при сравнении комбинированной терапии с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монотерапией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Показатели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и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увеличивались на 11 и 34% соответственно, а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и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C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max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14-гидроксикларитромицина (активный метаболит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кларитромицина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) увеличивались на 42 и 46% соответственно. Данное увеличение показателей не было признано клинически значимым.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Одновременное применение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суспензий антацидов, содержащих алюминия и/или магния гидроксид, не приводит к клинически значимому взаимодействию.</w:t>
      </w:r>
    </w:p>
    <w:p w:rsidR="001106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Способ применения и дозы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Внутрь.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0A0515" w:rsidRPr="00251D64">
        <w:rPr>
          <w:rFonts w:ascii="Times New Roman" w:eastAsia="Times New Roman" w:hAnsi="Times New Roman" w:cs="Times New Roman"/>
          <w:sz w:val="20"/>
          <w:szCs w:val="20"/>
          <w:lang w:val="tg-Cyrl-TJ" w:eastAsia="ru-RU"/>
        </w:rPr>
        <w:t>Таблетки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препарата </w:t>
      </w:r>
      <w:r w:rsidR="00F1011C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Р</w:t>
      </w:r>
      <w:r w:rsidR="00007959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абемакс</w:t>
      </w:r>
      <w:r w:rsidR="00F1011C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следует глотать целиком. Установлено, что ни время суток, ни прием пищи не влияют на активность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lastRenderedPageBreak/>
        <w:t>При язвенной болезни желудка в стадии обострения и язве анастомоза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рекомендуется принимать внутрь по 10 или 20 мг 1 раз в день. Обычно излечение наступает после 6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ель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терапии, однако в некоторых случаях длительность лечения может быть увеличена еще на 6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ель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При язвенной болезни двенадцатиперстной кишки в стадии обострения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рекомендуется принимать внутрь по 20 мг 1 раз в день. В некоторых случаях лечебный эффект наступает при приеме 10 мг 1 раз в день. Длительность лечения составляет от 2 до 4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ель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 В случае необходимости длительность лечения может быть увеличена еще на 4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ель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При лечении </w:t>
      </w:r>
      <w:proofErr w:type="gram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эрозивной</w:t>
      </w:r>
      <w:proofErr w:type="gram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 ГЭРБ или рефлюкс-эзофагита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рекомендуется принимать внутрь по 10 или 20 мг 1 раз в день. Длительность лечения составляет от 4 до 8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ель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 В случае необходимости длительность лечения может быть увеличена еще на 8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ель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При поддерживающей терапии ГЭРБ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рекомендуется принимать внутрь по 10 или 20 мг 1 раз в день. Длительность лечения зависит от состояния пациента.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При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неэрозивной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гастроэзофагеальной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рефлюксной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болезни без эзофагита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рекомендуется принимать внутрь по 10 или 20 мг 1 раз в день.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после 4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ель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лечения симптомы не исчезают, следует провести дополнительное исследование пациента. После купирования симптомов для предупреждения их последующего возникновения следует принимать препарат внутрь в дозе 10 мг 1 раз в день по требованию.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Для лечения синдрома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Золлингера-Эллисона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и других состояний, характеризующихс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я патологической гиперсекрецией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дозу подбирают индивидуально. Начальная доза — 60 мг в день, затем дозу повышают и назначают препарат в дозе до 100 мг в день при однократном приеме или по 60 мг 2 раза в день. Для некоторых пациентов дробное дозирование препарата является предпочтительным. Лечение должно продолжаться по мере клинической необходимости. У некоторых пациентов с синдромом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Золлингера-Эллисона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длительность лечения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рабепразолом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составляла до одного года.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Для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эрадикации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Helicobacter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pylori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рекомендуется принимать внутрь 20 мг 2 раза в день по определенной схеме с соответствующей комбинаций антибиотиков.</w:t>
      </w:r>
      <w:proofErr w:type="gram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Длительность лечения составляет 7 дней.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Пациенты с почечно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й и печеночной недостаточностью: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Коррекция дозы пациентам с почечной недостаточностью не требуется.</w:t>
      </w:r>
    </w:p>
    <w:p w:rsidR="001106E0" w:rsidRPr="00251D64" w:rsidRDefault="001106E0" w:rsidP="0010582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пациентов с печеночной недостаточностью легкой и средней степени тяжести концентрация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крови обычно выше, чем у здоровых добровольцев. При назначении препарата </w:t>
      </w:r>
      <w:r w:rsidR="00F1011C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Р</w:t>
      </w:r>
      <w:r w:rsidR="00007959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абемакс</w:t>
      </w:r>
      <w:r w:rsidR="00F1011C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пациентам с тяжелой степенью тяжести печеночной недостаточности следует соблюдать осторожность.</w:t>
      </w:r>
    </w:p>
    <w:p w:rsidR="001106E0" w:rsidRPr="00251D64" w:rsidRDefault="00177BD4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Пожилые пациенты:</w:t>
      </w:r>
      <w:r w:rsidR="001106E0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Коррекция дозы не требуется.</w:t>
      </w:r>
    </w:p>
    <w:p w:rsidR="001106E0" w:rsidRPr="00251D64" w:rsidRDefault="00177BD4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Дети: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gram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Безопасность и эффективность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 мг для краткосрочного (до 8 нед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ель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лечения 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ГЭРБ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у детей в возрасте 12 лет и более подтверждена экстраполяцией результатов адекватных и хорошо контролируемых исследований, подтверждающих эффективность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взрослых и исследованиями безопасности и фармакокинетики для пациентов детского возраста.</w:t>
      </w:r>
      <w:proofErr w:type="gramEnd"/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Рекомендуемая доза для детей в возрасте 12 лет и более составляет 20 мг 1 раз в день продолжительностью до 8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нед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ель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Безопасность и эффективность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лечения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ГЭРБ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у детей в возрасте младше 12 лет не установлена. Безопасность и эффективность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применения по другим показаниям не установлена для пациентов детского возраста.</w:t>
      </w:r>
    </w:p>
    <w:p w:rsidR="001106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Передозировка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Симптомы: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данные о намеренной или случайной передозировке минимальны.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Лечение: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хорошо связывается с белками плазмы, и поэтому слабо выводится при диализе. При передозировке необходимо проводить симптоматическое и поддерживающее лечение. Специфический антидот для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неизвестен.</w:t>
      </w:r>
    </w:p>
    <w:p w:rsidR="001106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Особые указания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Ответ пациента на терапию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рабепразолом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исключает наличие злокачественных новообразований в желудке.</w:t>
      </w:r>
    </w:p>
    <w:p w:rsidR="001106E0" w:rsidRPr="00251D64" w:rsidRDefault="000A0515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val="tg-Cyrl-TJ" w:eastAsia="ru-RU"/>
        </w:rPr>
        <w:t>Таблетки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препарата </w:t>
      </w:r>
      <w:r w:rsidR="00F1011C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Р</w:t>
      </w:r>
      <w:r w:rsidR="00007959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абемакс</w:t>
      </w:r>
      <w:r w:rsidR="00F1011C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следует глотать целиком. Установлено, что ни время суток, ни прием пищи не влияют на активность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специальном исследовании у пациентов с легкими или умеренными нарушениями функции печени не было обнаружено значимого отличия частоты побочных эффектов препарата </w:t>
      </w:r>
      <w:r w:rsidR="00F1011C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Р</w:t>
      </w:r>
      <w:r w:rsidR="00007959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абемакс</w:t>
      </w:r>
      <w:r w:rsidR="00F1011C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таковой у подобранных по полу и возрасту здоровых лиц, </w:t>
      </w:r>
      <w:proofErr w:type="gram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но</w:t>
      </w:r>
      <w:proofErr w:type="gram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несмотря на это, рекомендуется соблюдать осторожность при первом назначении препарата </w:t>
      </w:r>
      <w:r w:rsidR="00F1011C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Р</w:t>
      </w:r>
      <w:r w:rsidR="00007959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абемакс</w:t>
      </w:r>
      <w:r w:rsidR="00F1011C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пациентам с тяжелыми нарушениями функции печени.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Пациентам с нарушениями функции почек или печени корректировка дозы препарата </w:t>
      </w:r>
      <w:r w:rsidR="00F1011C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Р</w:t>
      </w:r>
      <w:r w:rsidR="00007959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абемакс</w:t>
      </w:r>
      <w:r w:rsidR="00F1011C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не требуется.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AUC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 пациентов с тяжелым нарушением функции печени примерно в два раза выше, чем у здоровых пациентов.</w:t>
      </w:r>
    </w:p>
    <w:p w:rsidR="001106E0" w:rsidRPr="00251D64" w:rsidRDefault="00177BD4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Гипомагниемия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: 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При лечении ИПП на </w:t>
      </w:r>
      <w:proofErr w:type="gram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протяжении</w:t>
      </w:r>
      <w:proofErr w:type="gram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крайней мере 3 мес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яцев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редких случаях были отмечены случаи симптоматической или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асимптоматической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гипомагниемии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 большинстве случаев эти сообщения поступали через год после проведения терапии. Серьезными побочными явлениями были тетания, аритмия и судороги. Большинству пациентов требовалось лечение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гипомагниемии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включающей замещение магния и отмену терапии ИПП. У пациентов, которые будут получать длительное лечение или которые принимают ИПП с препаратами, такими как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дигоксин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способными вызвать </w:t>
      </w:r>
      <w:proofErr w:type="spell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гипомагниемию</w:t>
      </w:r>
      <w:proofErr w:type="spell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gramStart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например</w:t>
      </w:r>
      <w:proofErr w:type="gramEnd"/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диуретики), необходим контроль содержания магния до начала лечения ИПП и в период лечения.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Пе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реломы: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Терапия ИПП может привести к возрастанию риска связанных с остеопорозом переломов бедра, запястья или позвоночника. Риск переломов был увеличен у пациентов, получавших высокие дозы ИПП длительно (год и более).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Одновременное применение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с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proofErr w:type="spellStart"/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метотрексатом</w:t>
      </w:r>
      <w:proofErr w:type="spellEnd"/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: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Согласно литературным данным, одновременный прием ИПП с метотрексатом (прежде всего в высоких дозах), может привести к повышению концентрации метотрексата и/или его метаболита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гидроксиметотрексата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увеличить 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r w:rsidRPr="00251D64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vertAlign w:val="subscript"/>
          <w:lang w:eastAsia="ru-RU"/>
        </w:rPr>
        <w:t>1/2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что может привести к проявлению токсичности метотрексата. При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необходимости применения высоких доз метотрексата, может быть рассмотрена возможность временного прекращения терапии ИПП.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Инфекции, вызванные </w:t>
      </w: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val="en-US" w:eastAsia="ru-RU"/>
        </w:rPr>
        <w:t>Salmonella</w:t>
      </w: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, </w:t>
      </w: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val="en-US" w:eastAsia="ru-RU"/>
        </w:rPr>
        <w:t>Campylobacter</w:t>
      </w: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и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val="en-US" w:eastAsia="ru-RU"/>
        </w:rPr>
        <w:t>Clostridium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proofErr w:type="spellStart"/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val="en-US" w:eastAsia="ru-RU"/>
        </w:rPr>
        <w:t>difficile</w:t>
      </w:r>
      <w:proofErr w:type="spellEnd"/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:</w:t>
      </w:r>
      <w:r w:rsidR="00177BD4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Терапия ИПП может приводить к возрастанию риска желудочно-кишечных инфекций, таких как инфекции, вызванные 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Salmonella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,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Campylobacter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и 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Clostridium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difficile</w:t>
      </w:r>
      <w:proofErr w:type="spellEnd"/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Влияние на способность к вождению автотран</w:t>
      </w:r>
      <w:r w:rsidR="00177BD4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спорта и управлению механизмами: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Исходя из особенностей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фармакодинамики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рабепразола</w:t>
      </w:r>
      <w:proofErr w:type="spellEnd"/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его профиля нежелательных эффектов, маловероятно, что </w:t>
      </w:r>
      <w:r w:rsidR="00F1011C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Р</w:t>
      </w:r>
      <w:r w:rsidR="00007959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val="tg-Cyrl-TJ" w:eastAsia="ru-RU"/>
        </w:rPr>
        <w:t>абемакс</w:t>
      </w:r>
      <w:r w:rsidR="00F1011C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оказывает влияние на способность к вождению автотранспорта и управлению механизмами. Однако в случае появления сонливости следует избегать этих видов деятельности.</w:t>
      </w:r>
    </w:p>
    <w:p w:rsidR="001106E0" w:rsidRPr="00251D64" w:rsidRDefault="001106E0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Форма выпуска</w:t>
      </w:r>
      <w:r w:rsidR="002B780B"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</w:p>
    <w:p w:rsidR="001106E0" w:rsidRPr="00251D64" w:rsidRDefault="00B806C3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val="tg-Cyrl-TJ" w:eastAsia="ru-RU"/>
        </w:rPr>
        <w:t>Таблетки</w:t>
      </w:r>
      <w:r w:rsidR="001106E0"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 xml:space="preserve"> кишечнорастворимые, 20 мг.</w:t>
      </w:r>
      <w:r w:rsidR="001106E0"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 10 помещают в контурную ячейковую упаковку.</w:t>
      </w:r>
    </w:p>
    <w:p w:rsidR="001106E0" w:rsidRPr="00251D64" w:rsidRDefault="002B780B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хранения:</w:t>
      </w:r>
    </w:p>
    <w:p w:rsidR="001106E0" w:rsidRPr="00251D64" w:rsidRDefault="001106E0" w:rsidP="001058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защищенном от света месте, при температуре не выше 25 °C.</w:t>
      </w:r>
    </w:p>
    <w:p w:rsidR="001106E0" w:rsidRPr="00251D64" w:rsidRDefault="001106E0" w:rsidP="0010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i/>
          <w:iCs/>
          <w:sz w:val="20"/>
          <w:szCs w:val="20"/>
          <w:bdr w:val="none" w:sz="0" w:space="0" w:color="auto" w:frame="1"/>
          <w:shd w:val="clear" w:color="auto" w:fill="E0EBED"/>
          <w:lang w:eastAsia="ru-RU"/>
        </w:rPr>
        <w:t>Хранить в недоступном для детей месте.</w:t>
      </w:r>
    </w:p>
    <w:p w:rsidR="001106E0" w:rsidRPr="00251D64" w:rsidRDefault="002B780B" w:rsidP="0010582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Срок годности:</w:t>
      </w:r>
    </w:p>
    <w:p w:rsidR="00177BD4" w:rsidRPr="00251D64" w:rsidRDefault="001106E0" w:rsidP="001058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tg-Cyrl-TJ"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3 года.</w:t>
      </w:r>
      <w:r w:rsidR="0003377B" w:rsidRPr="00251D64">
        <w:rPr>
          <w:rFonts w:ascii="Times New Roman" w:eastAsia="Times New Roman" w:hAnsi="Times New Roman" w:cs="Times New Roman"/>
          <w:sz w:val="20"/>
          <w:szCs w:val="20"/>
          <w:lang w:val="tg-Cyrl-TJ" w:eastAsia="ru-RU"/>
        </w:rPr>
        <w:t xml:space="preserve"> </w:t>
      </w:r>
    </w:p>
    <w:p w:rsidR="0003377B" w:rsidRPr="00251D64" w:rsidRDefault="001106E0" w:rsidP="001058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применять по истечении срока годности, указанного на упаковке.</w:t>
      </w:r>
    </w:p>
    <w:p w:rsidR="00177BD4" w:rsidRPr="00251D64" w:rsidRDefault="00177BD4" w:rsidP="001058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tg-Cyrl-TJ" w:eastAsia="ru-RU"/>
        </w:rPr>
      </w:pPr>
    </w:p>
    <w:p w:rsidR="00177BD4" w:rsidRPr="00251D64" w:rsidRDefault="00177BD4" w:rsidP="00177BD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отпуска из аптек:</w:t>
      </w:r>
    </w:p>
    <w:p w:rsidR="00177BD4" w:rsidRPr="00251D64" w:rsidRDefault="00177BD4" w:rsidP="0017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D64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рецепту.</w:t>
      </w:r>
    </w:p>
    <w:p w:rsidR="0003377B" w:rsidRPr="00251D64" w:rsidRDefault="0003377B" w:rsidP="001058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tg-Cyrl-TJ" w:eastAsia="ru-RU"/>
        </w:rPr>
      </w:pPr>
    </w:p>
    <w:p w:rsidR="0003377B" w:rsidRPr="00251D64" w:rsidRDefault="0003377B" w:rsidP="0010582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51D64">
        <w:rPr>
          <w:rFonts w:ascii="Times New Roman" w:hAnsi="Times New Roman" w:cs="Times New Roman"/>
          <w:b/>
          <w:sz w:val="20"/>
          <w:szCs w:val="20"/>
        </w:rPr>
        <w:t>Произведено для:</w:t>
      </w:r>
    </w:p>
    <w:p w:rsidR="0003377B" w:rsidRPr="00251D64" w:rsidRDefault="0003377B" w:rsidP="0010582C">
      <w:pPr>
        <w:pStyle w:val="3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251D64">
        <w:rPr>
          <w:rFonts w:ascii="Times New Roman" w:hAnsi="Times New Roman" w:cs="Times New Roman"/>
          <w:color w:val="auto"/>
          <w:sz w:val="20"/>
          <w:szCs w:val="20"/>
        </w:rPr>
        <w:t>MAXX-PHARM LTD.</w:t>
      </w:r>
    </w:p>
    <w:p w:rsidR="0003377B" w:rsidRPr="00251D64" w:rsidRDefault="0003377B" w:rsidP="0010582C">
      <w:pPr>
        <w:pStyle w:val="3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251D64">
        <w:rPr>
          <w:rFonts w:ascii="Times New Roman" w:hAnsi="Times New Roman" w:cs="Times New Roman"/>
          <w:color w:val="auto"/>
          <w:sz w:val="20"/>
          <w:szCs w:val="20"/>
        </w:rPr>
        <w:t>Лондон, Великобритания</w:t>
      </w:r>
    </w:p>
    <w:p w:rsidR="0003377B" w:rsidRPr="00251D64" w:rsidRDefault="0003377B" w:rsidP="0010582C">
      <w:pPr>
        <w:pStyle w:val="3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03377B" w:rsidRPr="00251D64" w:rsidRDefault="0003377B" w:rsidP="0010582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tg-Cyrl-TJ" w:eastAsia="ru-RU"/>
        </w:rPr>
      </w:pPr>
      <w:bookmarkStart w:id="0" w:name="_GoBack"/>
      <w:bookmarkEnd w:id="0"/>
    </w:p>
    <w:sectPr w:rsidR="0003377B" w:rsidRPr="00251D64" w:rsidSect="00A54F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6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EF4" w:rsidRDefault="006B1EF4" w:rsidP="00C571F5">
      <w:pPr>
        <w:spacing w:after="0" w:line="240" w:lineRule="auto"/>
      </w:pPr>
      <w:r>
        <w:separator/>
      </w:r>
    </w:p>
  </w:endnote>
  <w:endnote w:type="continuationSeparator" w:id="0">
    <w:p w:rsidR="006B1EF4" w:rsidRDefault="006B1EF4" w:rsidP="00C57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F5" w:rsidRDefault="00C571F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F5" w:rsidRDefault="00C571F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F5" w:rsidRDefault="00C571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EF4" w:rsidRDefault="006B1EF4" w:rsidP="00C571F5">
      <w:pPr>
        <w:spacing w:after="0" w:line="240" w:lineRule="auto"/>
      </w:pPr>
      <w:r>
        <w:separator/>
      </w:r>
    </w:p>
  </w:footnote>
  <w:footnote w:type="continuationSeparator" w:id="0">
    <w:p w:rsidR="006B1EF4" w:rsidRDefault="006B1EF4" w:rsidP="00C57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F5" w:rsidRDefault="006B1EF4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9588235" o:spid="_x0000_s2059" type="#_x0000_t75" style="position:absolute;margin-left:0;margin-top:0;width:746.25pt;height:259.5pt;z-index:-251657216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F5" w:rsidRDefault="006B1EF4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9588236" o:spid="_x0000_s2060" type="#_x0000_t75" style="position:absolute;margin-left:0;margin-top:0;width:746.25pt;height:259.5pt;z-index:-251656192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F5" w:rsidRDefault="006B1EF4">
    <w:pPr>
      <w:pStyle w:val="a7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9588234" o:spid="_x0000_s2058" type="#_x0000_t75" style="position:absolute;margin-left:0;margin-top:0;width:746.25pt;height:259.5pt;z-index:-251658240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E212D"/>
    <w:multiLevelType w:val="multilevel"/>
    <w:tmpl w:val="EB549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F0DAD"/>
    <w:multiLevelType w:val="multilevel"/>
    <w:tmpl w:val="B848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F929E7"/>
    <w:multiLevelType w:val="multilevel"/>
    <w:tmpl w:val="80E2F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274651"/>
    <w:multiLevelType w:val="multilevel"/>
    <w:tmpl w:val="B53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BB1555"/>
    <w:multiLevelType w:val="multilevel"/>
    <w:tmpl w:val="41A84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3A335F"/>
    <w:multiLevelType w:val="multilevel"/>
    <w:tmpl w:val="E5C65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C5"/>
    <w:rsid w:val="00007959"/>
    <w:rsid w:val="000220D9"/>
    <w:rsid w:val="0003377B"/>
    <w:rsid w:val="000A0515"/>
    <w:rsid w:val="0010582C"/>
    <w:rsid w:val="001106E0"/>
    <w:rsid w:val="00177BD4"/>
    <w:rsid w:val="00182E4A"/>
    <w:rsid w:val="00203F3A"/>
    <w:rsid w:val="002326D5"/>
    <w:rsid w:val="00251D64"/>
    <w:rsid w:val="00276E95"/>
    <w:rsid w:val="002962C3"/>
    <w:rsid w:val="002B780B"/>
    <w:rsid w:val="002F2B48"/>
    <w:rsid w:val="003B744D"/>
    <w:rsid w:val="003F6A5B"/>
    <w:rsid w:val="00674402"/>
    <w:rsid w:val="006B1EF4"/>
    <w:rsid w:val="008D4A34"/>
    <w:rsid w:val="00955EBA"/>
    <w:rsid w:val="00A2517F"/>
    <w:rsid w:val="00A54F4D"/>
    <w:rsid w:val="00B806C3"/>
    <w:rsid w:val="00B914E0"/>
    <w:rsid w:val="00C571F5"/>
    <w:rsid w:val="00CA0522"/>
    <w:rsid w:val="00D605B1"/>
    <w:rsid w:val="00D77B30"/>
    <w:rsid w:val="00DF37AD"/>
    <w:rsid w:val="00F1011C"/>
    <w:rsid w:val="00F90FC5"/>
    <w:rsid w:val="00FC02E1"/>
    <w:rsid w:val="00FF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0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06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337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06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106E0"/>
    <w:rPr>
      <w:color w:val="0000FF"/>
      <w:u w:val="single"/>
    </w:rPr>
  </w:style>
  <w:style w:type="character" w:customStyle="1" w:styleId="fgrls">
    <w:name w:val="fgrls"/>
    <w:basedOn w:val="a0"/>
    <w:rsid w:val="001106E0"/>
  </w:style>
  <w:style w:type="paragraph" w:customStyle="1" w:styleId="opispole">
    <w:name w:val="opis_pole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ispoleabz">
    <w:name w:val="opis_pole_abz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armaction">
    <w:name w:val="pharm_action"/>
    <w:basedOn w:val="a0"/>
    <w:rsid w:val="001106E0"/>
  </w:style>
  <w:style w:type="character" w:customStyle="1" w:styleId="sokr">
    <w:name w:val="sokr"/>
    <w:basedOn w:val="a0"/>
    <w:rsid w:val="001106E0"/>
  </w:style>
  <w:style w:type="paragraph" w:customStyle="1" w:styleId="bullet">
    <w:name w:val="bullet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6E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3377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C57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1F5"/>
  </w:style>
  <w:style w:type="paragraph" w:styleId="a9">
    <w:name w:val="footer"/>
    <w:basedOn w:val="a"/>
    <w:link w:val="aa"/>
    <w:uiPriority w:val="99"/>
    <w:unhideWhenUsed/>
    <w:rsid w:val="00C57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1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0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06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337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06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106E0"/>
    <w:rPr>
      <w:color w:val="0000FF"/>
      <w:u w:val="single"/>
    </w:rPr>
  </w:style>
  <w:style w:type="character" w:customStyle="1" w:styleId="fgrls">
    <w:name w:val="fgrls"/>
    <w:basedOn w:val="a0"/>
    <w:rsid w:val="001106E0"/>
  </w:style>
  <w:style w:type="paragraph" w:customStyle="1" w:styleId="opispole">
    <w:name w:val="opis_pole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ispoleabz">
    <w:name w:val="opis_pole_abz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armaction">
    <w:name w:val="pharm_action"/>
    <w:basedOn w:val="a0"/>
    <w:rsid w:val="001106E0"/>
  </w:style>
  <w:style w:type="character" w:customStyle="1" w:styleId="sokr">
    <w:name w:val="sokr"/>
    <w:basedOn w:val="a0"/>
    <w:rsid w:val="001106E0"/>
  </w:style>
  <w:style w:type="paragraph" w:customStyle="1" w:styleId="bullet">
    <w:name w:val="bullet"/>
    <w:basedOn w:val="a"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1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6E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3377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C57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1F5"/>
  </w:style>
  <w:style w:type="paragraph" w:styleId="a9">
    <w:name w:val="footer"/>
    <w:basedOn w:val="a"/>
    <w:link w:val="aa"/>
    <w:uiPriority w:val="99"/>
    <w:unhideWhenUsed/>
    <w:rsid w:val="00C57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87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140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1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DD383-7C9D-453B-AEC9-BCB5A730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24</cp:revision>
  <dcterms:created xsi:type="dcterms:W3CDTF">2020-06-07T07:03:00Z</dcterms:created>
  <dcterms:modified xsi:type="dcterms:W3CDTF">2024-01-22T03:26:00Z</dcterms:modified>
</cp:coreProperties>
</file>