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B45" w:rsidRPr="00D32B67" w:rsidRDefault="00E73B45" w:rsidP="00CC2D4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32B67">
        <w:rPr>
          <w:rFonts w:ascii="Times New Roman" w:hAnsi="Times New Roman" w:cs="Times New Roman"/>
          <w:b/>
          <w:sz w:val="20"/>
          <w:szCs w:val="20"/>
        </w:rPr>
        <w:t>КОНТРИМАКС</w:t>
      </w:r>
    </w:p>
    <w:p w:rsidR="00E73B45" w:rsidRPr="00D32B67" w:rsidRDefault="00E73B45" w:rsidP="00CC2D4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32B67">
        <w:rPr>
          <w:rFonts w:ascii="Times New Roman" w:hAnsi="Times New Roman" w:cs="Times New Roman"/>
          <w:b/>
          <w:sz w:val="20"/>
          <w:szCs w:val="20"/>
        </w:rPr>
        <w:t>Инструкция по медицинскому применению лекарственного средства</w:t>
      </w:r>
    </w:p>
    <w:p w:rsidR="00E73B45" w:rsidRPr="001F0B08" w:rsidRDefault="00E73B45" w:rsidP="00E73B4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F0B08">
        <w:rPr>
          <w:rFonts w:ascii="Times New Roman" w:hAnsi="Times New Roman" w:cs="Times New Roman"/>
          <w:b/>
          <w:sz w:val="20"/>
          <w:szCs w:val="20"/>
        </w:rPr>
        <w:t>Торговое название:</w:t>
      </w:r>
      <w:r w:rsidRPr="001F0B0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F0B08">
        <w:rPr>
          <w:rFonts w:ascii="Times New Roman" w:hAnsi="Times New Roman" w:cs="Times New Roman"/>
          <w:sz w:val="20"/>
          <w:szCs w:val="20"/>
        </w:rPr>
        <w:t>Контримакс</w:t>
      </w:r>
      <w:proofErr w:type="spellEnd"/>
      <w:r w:rsidRPr="001F0B08">
        <w:rPr>
          <w:rFonts w:ascii="Times New Roman" w:hAnsi="Times New Roman" w:cs="Times New Roman"/>
          <w:sz w:val="20"/>
          <w:szCs w:val="20"/>
        </w:rPr>
        <w:t>.</w:t>
      </w:r>
    </w:p>
    <w:p w:rsidR="00E73B45" w:rsidRPr="001F0B08" w:rsidRDefault="00E73B45" w:rsidP="00E73B4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F0B08">
        <w:rPr>
          <w:rFonts w:ascii="Times New Roman" w:hAnsi="Times New Roman" w:cs="Times New Roman"/>
          <w:b/>
          <w:sz w:val="20"/>
          <w:szCs w:val="20"/>
        </w:rPr>
        <w:t>МНН:</w:t>
      </w:r>
      <w:r w:rsidR="00823968" w:rsidRPr="001F0B0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23968" w:rsidRPr="001F0B08">
        <w:rPr>
          <w:rFonts w:ascii="Times New Roman" w:hAnsi="Times New Roman" w:cs="Times New Roman"/>
          <w:sz w:val="20"/>
          <w:szCs w:val="20"/>
        </w:rPr>
        <w:t>А</w:t>
      </w:r>
      <w:r w:rsidRPr="001F0B08">
        <w:rPr>
          <w:rFonts w:ascii="Times New Roman" w:hAnsi="Times New Roman" w:cs="Times New Roman"/>
          <w:sz w:val="20"/>
          <w:szCs w:val="20"/>
        </w:rPr>
        <w:t>протинин</w:t>
      </w:r>
      <w:proofErr w:type="spellEnd"/>
      <w:r w:rsidRPr="001F0B08">
        <w:rPr>
          <w:rFonts w:ascii="Times New Roman" w:hAnsi="Times New Roman" w:cs="Times New Roman"/>
          <w:sz w:val="20"/>
          <w:szCs w:val="20"/>
        </w:rPr>
        <w:t>.</w:t>
      </w:r>
    </w:p>
    <w:p w:rsidR="00E73B45" w:rsidRPr="001F0B08" w:rsidRDefault="00E73B45" w:rsidP="00E73B4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F0B08">
        <w:rPr>
          <w:rFonts w:ascii="Times New Roman" w:hAnsi="Times New Roman" w:cs="Times New Roman"/>
          <w:b/>
          <w:sz w:val="20"/>
          <w:szCs w:val="20"/>
        </w:rPr>
        <w:t>Лекарственная форма:</w:t>
      </w:r>
      <w:r w:rsidRPr="001F0B0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F0B08">
        <w:rPr>
          <w:rFonts w:ascii="Times New Roman" w:hAnsi="Times New Roman" w:cs="Times New Roman"/>
          <w:sz w:val="20"/>
          <w:szCs w:val="20"/>
        </w:rPr>
        <w:t>лиофилизированный</w:t>
      </w:r>
      <w:proofErr w:type="spellEnd"/>
      <w:r w:rsidRPr="001F0B08">
        <w:rPr>
          <w:rFonts w:ascii="Times New Roman" w:hAnsi="Times New Roman" w:cs="Times New Roman"/>
          <w:sz w:val="20"/>
          <w:szCs w:val="20"/>
        </w:rPr>
        <w:t xml:space="preserve"> порошок для приготовления раствора для в/</w:t>
      </w:r>
      <w:proofErr w:type="gramStart"/>
      <w:r w:rsidRPr="001F0B08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1F0B08">
        <w:rPr>
          <w:rFonts w:ascii="Times New Roman" w:hAnsi="Times New Roman" w:cs="Times New Roman"/>
          <w:sz w:val="20"/>
          <w:szCs w:val="20"/>
        </w:rPr>
        <w:t xml:space="preserve"> введения.</w:t>
      </w:r>
    </w:p>
    <w:p w:rsidR="00E73B45" w:rsidRPr="001F0B08" w:rsidRDefault="00E73B45" w:rsidP="00E73B45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1F0B08">
        <w:rPr>
          <w:rFonts w:ascii="Times New Roman" w:hAnsi="Times New Roman" w:cs="Times New Roman"/>
          <w:b/>
          <w:sz w:val="20"/>
          <w:szCs w:val="20"/>
        </w:rPr>
        <w:t>Фармако</w:t>
      </w:r>
      <w:proofErr w:type="spellEnd"/>
      <w:r w:rsidR="00823968" w:rsidRPr="001F0B08">
        <w:rPr>
          <w:rFonts w:ascii="Times New Roman" w:hAnsi="Times New Roman" w:cs="Times New Roman"/>
          <w:b/>
          <w:sz w:val="20"/>
          <w:szCs w:val="20"/>
        </w:rPr>
        <w:t>-</w:t>
      </w:r>
      <w:r w:rsidRPr="001F0B08">
        <w:rPr>
          <w:rFonts w:ascii="Times New Roman" w:hAnsi="Times New Roman" w:cs="Times New Roman"/>
          <w:b/>
          <w:sz w:val="20"/>
          <w:szCs w:val="20"/>
        </w:rPr>
        <w:t>терапевтическая</w:t>
      </w:r>
      <w:proofErr w:type="gramEnd"/>
      <w:r w:rsidRPr="001F0B08">
        <w:rPr>
          <w:rFonts w:ascii="Times New Roman" w:hAnsi="Times New Roman" w:cs="Times New Roman"/>
          <w:b/>
          <w:sz w:val="20"/>
          <w:szCs w:val="20"/>
        </w:rPr>
        <w:t xml:space="preserve"> форма:</w:t>
      </w:r>
      <w:r w:rsidRPr="001F0B0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F0B08">
        <w:rPr>
          <w:rFonts w:ascii="Times New Roman" w:hAnsi="Times New Roman" w:cs="Times New Roman"/>
          <w:sz w:val="20"/>
          <w:szCs w:val="20"/>
        </w:rPr>
        <w:t>Гемостатический</w:t>
      </w:r>
      <w:proofErr w:type="spellEnd"/>
      <w:r w:rsidRPr="001F0B08">
        <w:rPr>
          <w:rFonts w:ascii="Times New Roman" w:hAnsi="Times New Roman" w:cs="Times New Roman"/>
          <w:sz w:val="20"/>
          <w:szCs w:val="20"/>
        </w:rPr>
        <w:t xml:space="preserve"> препарат. Ингибитор </w:t>
      </w:r>
      <w:proofErr w:type="spellStart"/>
      <w:r w:rsidRPr="001F0B08">
        <w:rPr>
          <w:rFonts w:ascii="Times New Roman" w:hAnsi="Times New Roman" w:cs="Times New Roman"/>
          <w:sz w:val="20"/>
          <w:szCs w:val="20"/>
        </w:rPr>
        <w:t>фибринолиза</w:t>
      </w:r>
      <w:proofErr w:type="spellEnd"/>
      <w:r w:rsidRPr="001F0B08">
        <w:rPr>
          <w:rFonts w:ascii="Times New Roman" w:hAnsi="Times New Roman" w:cs="Times New Roman"/>
          <w:sz w:val="20"/>
          <w:szCs w:val="20"/>
        </w:rPr>
        <w:t xml:space="preserve"> - поливалентный ингибитор </w:t>
      </w:r>
      <w:proofErr w:type="spellStart"/>
      <w:r w:rsidRPr="001F0B08">
        <w:rPr>
          <w:rFonts w:ascii="Times New Roman" w:hAnsi="Times New Roman" w:cs="Times New Roman"/>
          <w:sz w:val="20"/>
          <w:szCs w:val="20"/>
        </w:rPr>
        <w:t>протеиназ</w:t>
      </w:r>
      <w:proofErr w:type="spellEnd"/>
      <w:r w:rsidRPr="001F0B08">
        <w:rPr>
          <w:rFonts w:ascii="Times New Roman" w:hAnsi="Times New Roman" w:cs="Times New Roman"/>
          <w:sz w:val="20"/>
          <w:szCs w:val="20"/>
        </w:rPr>
        <w:t xml:space="preserve"> плазмы. Ингибитор </w:t>
      </w:r>
      <w:proofErr w:type="spellStart"/>
      <w:r w:rsidRPr="001F0B08">
        <w:rPr>
          <w:rFonts w:ascii="Times New Roman" w:hAnsi="Times New Roman" w:cs="Times New Roman"/>
          <w:sz w:val="20"/>
          <w:szCs w:val="20"/>
        </w:rPr>
        <w:t>протеолиза</w:t>
      </w:r>
      <w:proofErr w:type="spellEnd"/>
      <w:r w:rsidRPr="001F0B08">
        <w:rPr>
          <w:rFonts w:ascii="Times New Roman" w:hAnsi="Times New Roman" w:cs="Times New Roman"/>
          <w:sz w:val="20"/>
          <w:szCs w:val="20"/>
        </w:rPr>
        <w:t>.</w:t>
      </w:r>
    </w:p>
    <w:p w:rsidR="00823968" w:rsidRPr="001F0B08" w:rsidRDefault="00325870" w:rsidP="0032587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</w:pPr>
      <w:r w:rsidRPr="001F0B08"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Состав:</w:t>
      </w:r>
      <w:r w:rsidR="00E73B45" w:rsidRPr="001F0B08"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 </w:t>
      </w:r>
    </w:p>
    <w:p w:rsidR="00823968" w:rsidRPr="001F0B08" w:rsidRDefault="00325870" w:rsidP="0032587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</w:pPr>
      <w:r w:rsidRPr="001F0B08">
        <w:rPr>
          <w:rFonts w:ascii="Times New Roman" w:eastAsia="Times New Roman" w:hAnsi="Times New Roman" w:cs="Times New Roman"/>
          <w:bCs/>
          <w:i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Каждый флакон содержит</w:t>
      </w:r>
      <w:r w:rsidR="00E73B45" w:rsidRPr="001F0B08">
        <w:rPr>
          <w:rFonts w:ascii="Times New Roman" w:eastAsia="Times New Roman" w:hAnsi="Times New Roman" w:cs="Times New Roman"/>
          <w:bCs/>
          <w:i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:</w:t>
      </w:r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 </w:t>
      </w:r>
    </w:p>
    <w:p w:rsidR="00E73B45" w:rsidRPr="001F0B08" w:rsidRDefault="00325870" w:rsidP="0032587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</w:pPr>
      <w:proofErr w:type="spellStart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лиофилизированный</w:t>
      </w:r>
      <w:proofErr w:type="spellEnd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 </w:t>
      </w:r>
      <w:r w:rsidR="00E73B45" w:rsidRPr="001F0B08"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апротинин</w:t>
      </w:r>
      <w:proofErr w:type="spellEnd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 </w:t>
      </w:r>
    </w:p>
    <w:p w:rsidR="00325870" w:rsidRPr="001F0B08" w:rsidRDefault="00D32B67" w:rsidP="0032587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…………………………………………………</w:t>
      </w:r>
      <w:r w:rsidR="00325870"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10000 </w:t>
      </w:r>
      <w:proofErr w:type="gramStart"/>
      <w:r w:rsidR="00325870"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КИЕ</w:t>
      </w:r>
      <w:proofErr w:type="gramEnd"/>
      <w:r w:rsidR="00E73B45"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;</w:t>
      </w:r>
    </w:p>
    <w:p w:rsidR="00325870" w:rsidRPr="001F0B08" w:rsidRDefault="00325870" w:rsidP="0032587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</w:pPr>
      <w:r w:rsidRPr="001F0B08">
        <w:rPr>
          <w:rFonts w:ascii="Times New Roman" w:eastAsia="Times New Roman" w:hAnsi="Times New Roman" w:cs="Times New Roman"/>
          <w:bCs/>
          <w:i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Одна ампула с растворителем содержит</w:t>
      </w:r>
      <w:r w:rsidR="00E73B45" w:rsidRPr="001F0B08">
        <w:rPr>
          <w:rFonts w:ascii="Times New Roman" w:eastAsia="Times New Roman" w:hAnsi="Times New Roman" w:cs="Times New Roman"/>
          <w:bCs/>
          <w:i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:</w:t>
      </w:r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 </w:t>
      </w:r>
    </w:p>
    <w:p w:rsidR="00E73B45" w:rsidRPr="001F0B08" w:rsidRDefault="00325870" w:rsidP="0032587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</w:pPr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изотониче</w:t>
      </w:r>
      <w:r w:rsidR="00E73B45"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ского раствора хлорида натрия </w:t>
      </w:r>
    </w:p>
    <w:p w:rsidR="00325870" w:rsidRPr="001F0B08" w:rsidRDefault="00D32B67" w:rsidP="0032587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…………………………………………………</w:t>
      </w:r>
      <w:r w:rsidR="00325870"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0,9 %</w:t>
      </w:r>
      <w:r w:rsidR="00E73B45"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 - 2 мл.</w:t>
      </w:r>
    </w:p>
    <w:p w:rsidR="00E73B45" w:rsidRPr="001F0B08" w:rsidRDefault="00E73B45" w:rsidP="00E73B45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</w:pPr>
      <w:r w:rsidRPr="001F0B08"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Характеристика:</w:t>
      </w:r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 активность </w:t>
      </w:r>
      <w:proofErr w:type="spellStart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апротинина</w:t>
      </w:r>
      <w:proofErr w:type="spellEnd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 выражается в КИЕ - </w:t>
      </w:r>
      <w:proofErr w:type="spellStart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калликреин</w:t>
      </w:r>
      <w:proofErr w:type="spellEnd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 инактивирующих единицах.</w:t>
      </w:r>
    </w:p>
    <w:p w:rsidR="00E73B45" w:rsidRPr="001F0B08" w:rsidRDefault="00E73B45" w:rsidP="00E73B45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</w:pPr>
      <w:r w:rsidRPr="001F0B08"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Фармакологические свойства</w:t>
      </w:r>
    </w:p>
    <w:p w:rsidR="00E73B45" w:rsidRPr="001F0B08" w:rsidRDefault="00E73B45" w:rsidP="00E73B45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</w:pPr>
      <w:proofErr w:type="spellStart"/>
      <w:r w:rsidRPr="001F0B08">
        <w:rPr>
          <w:rFonts w:ascii="Times New Roman" w:eastAsia="Times New Roman" w:hAnsi="Times New Roman" w:cs="Times New Roman"/>
          <w:bCs/>
          <w:i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Фармакодинамика</w:t>
      </w:r>
      <w:proofErr w:type="spellEnd"/>
      <w:r w:rsidRPr="001F0B08">
        <w:rPr>
          <w:rFonts w:ascii="Times New Roman" w:eastAsia="Times New Roman" w:hAnsi="Times New Roman" w:cs="Times New Roman"/>
          <w:bCs/>
          <w:i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:</w:t>
      </w:r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Контримакс</w:t>
      </w:r>
      <w:proofErr w:type="spellEnd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 - поливалентный ингибитор </w:t>
      </w:r>
      <w:proofErr w:type="spellStart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протеиназ</w:t>
      </w:r>
      <w:proofErr w:type="spellEnd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 плазмы, полученный из легких крупного рогатого скота.   Оказывает </w:t>
      </w:r>
      <w:proofErr w:type="spellStart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антипротеолитическое</w:t>
      </w:r>
      <w:proofErr w:type="spellEnd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, </w:t>
      </w:r>
      <w:proofErr w:type="spellStart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антифибринолитическое</w:t>
      </w:r>
      <w:proofErr w:type="spellEnd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, </w:t>
      </w:r>
      <w:proofErr w:type="spellStart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гемостатическое</w:t>
      </w:r>
      <w:proofErr w:type="spellEnd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 действие.  Образуя  комплексы с ферментами, такими как плазмин, трипсин, химотрипсин,  </w:t>
      </w:r>
      <w:proofErr w:type="spellStart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калликреин</w:t>
      </w:r>
      <w:proofErr w:type="spellEnd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 инактивирует основные </w:t>
      </w:r>
      <w:proofErr w:type="spellStart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протеиназы</w:t>
      </w:r>
      <w:proofErr w:type="spellEnd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 в плазме, клетках крови и тканях, которые играют роль в патофизиологических процессах нарушения гемостаза. Терапевтический эффект </w:t>
      </w:r>
      <w:proofErr w:type="spellStart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Контримакса</w:t>
      </w:r>
      <w:proofErr w:type="spellEnd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 связан в первую очередь с ингибированием плазмина и блокадой активации </w:t>
      </w:r>
      <w:proofErr w:type="spellStart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плазминогена</w:t>
      </w:r>
      <w:proofErr w:type="spellEnd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 эндогенными активаторами.</w:t>
      </w:r>
    </w:p>
    <w:p w:rsidR="00E73B45" w:rsidRPr="001F0B08" w:rsidRDefault="00E73B45" w:rsidP="00E73B45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</w:pPr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Исходя из широкого спектра его активности, </w:t>
      </w:r>
      <w:proofErr w:type="spellStart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апротинин</w:t>
      </w:r>
      <w:proofErr w:type="spellEnd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 может применяться не только как</w:t>
      </w:r>
    </w:p>
    <w:p w:rsidR="00E73B45" w:rsidRPr="001F0B08" w:rsidRDefault="00E73B45" w:rsidP="00E73B45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</w:pPr>
      <w:proofErr w:type="spellStart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антифибринолитическое</w:t>
      </w:r>
      <w:proofErr w:type="spellEnd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 средство, но и как лечебно-профилактическое средство при лечении расстрой</w:t>
      </w:r>
      <w:proofErr w:type="gramStart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ств др</w:t>
      </w:r>
      <w:proofErr w:type="gramEnd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угих ферментных систем организма.</w:t>
      </w:r>
    </w:p>
    <w:p w:rsidR="00E73B45" w:rsidRPr="001F0B08" w:rsidRDefault="00E73B45" w:rsidP="00E73B45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</w:pPr>
      <w:proofErr w:type="spellStart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Антипротеазная</w:t>
      </w:r>
      <w:proofErr w:type="spellEnd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 активность определяет эффективность при поражениях поджелудочной железы и других состояниях с высоким содержанием </w:t>
      </w:r>
      <w:proofErr w:type="spellStart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калликреина</w:t>
      </w:r>
      <w:proofErr w:type="spellEnd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 и других </w:t>
      </w:r>
      <w:proofErr w:type="spellStart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протеиназ</w:t>
      </w:r>
      <w:proofErr w:type="spellEnd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 в плазме и тканях. Ингибируя плазмин, понижает </w:t>
      </w:r>
      <w:proofErr w:type="spellStart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фибринолитическую</w:t>
      </w:r>
      <w:proofErr w:type="spellEnd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 активность крови, тормозит </w:t>
      </w:r>
      <w:proofErr w:type="spellStart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фибринолиз</w:t>
      </w:r>
      <w:proofErr w:type="spellEnd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 и оказывает </w:t>
      </w:r>
      <w:proofErr w:type="spellStart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гемостатическое</w:t>
      </w:r>
      <w:proofErr w:type="spellEnd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 действие при </w:t>
      </w:r>
      <w:proofErr w:type="spellStart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коагулопатиях</w:t>
      </w:r>
      <w:proofErr w:type="spellEnd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.  Блокада </w:t>
      </w:r>
      <w:proofErr w:type="spellStart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калликреин-кининовой</w:t>
      </w:r>
      <w:proofErr w:type="spellEnd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 системы позволяет использовать </w:t>
      </w:r>
      <w:proofErr w:type="spellStart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апротинин</w:t>
      </w:r>
      <w:proofErr w:type="spellEnd"/>
      <w:r w:rsidRPr="001F0B08">
        <w:rPr>
          <w:rFonts w:ascii="Times New Roman" w:eastAsia="Times New Roman" w:hAnsi="Times New Roman" w:cs="Times New Roman"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 xml:space="preserve"> для профилактики и лечения различных форм шока, при ангионевротическом отеке.</w:t>
      </w:r>
    </w:p>
    <w:p w:rsidR="00325870" w:rsidRPr="001F0B08" w:rsidRDefault="00325870" w:rsidP="0032587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</w:pPr>
      <w:r w:rsidRPr="001F0B08"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Показания</w:t>
      </w:r>
      <w:r w:rsidR="004825C6" w:rsidRPr="001F0B08"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:</w:t>
      </w:r>
    </w:p>
    <w:p w:rsidR="00823968" w:rsidRPr="001F0B08" w:rsidRDefault="004825C6" w:rsidP="004825C6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  <w:r w:rsidRPr="001F0B08">
        <w:rPr>
          <w:rFonts w:ascii="Times New Roman" w:eastAsia="Calibri" w:hAnsi="Times New Roman" w:cs="Times New Roman"/>
          <w:sz w:val="20"/>
          <w:szCs w:val="20"/>
        </w:rPr>
        <w:t>- панкреатит (острый, обострение хронического, профилактика послеоперационного), панкреонекроз;</w:t>
      </w:r>
      <w:r w:rsidRPr="001F0B08">
        <w:rPr>
          <w:rFonts w:ascii="Times New Roman" w:eastAsia="Calibri" w:hAnsi="Times New Roman" w:cs="Times New Roman"/>
          <w:sz w:val="20"/>
          <w:szCs w:val="20"/>
        </w:rPr>
        <w:br/>
        <w:t xml:space="preserve">- выполнение диагностических исследований и операций на поджелудочной железе (профилактика  ферментативного </w:t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аутолиза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поджелудочной железы при операциях на ней и рядом расположенных органах брюшной полости);</w:t>
      </w:r>
      <w:r w:rsidRPr="001F0B08">
        <w:rPr>
          <w:rFonts w:ascii="Times New Roman" w:eastAsia="Calibri" w:hAnsi="Times New Roman" w:cs="Times New Roman"/>
          <w:sz w:val="20"/>
          <w:szCs w:val="20"/>
        </w:rPr>
        <w:br/>
        <w:t>- профилактика острого неспецифического послеоперационного паротита;</w:t>
      </w:r>
    </w:p>
    <w:p w:rsidR="004825C6" w:rsidRPr="001F0B08" w:rsidRDefault="00823968" w:rsidP="004825C6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="004825C6" w:rsidRPr="001F0B08">
        <w:rPr>
          <w:rFonts w:ascii="Times New Roman" w:eastAsia="Calibri" w:hAnsi="Times New Roman" w:cs="Times New Roman"/>
          <w:sz w:val="20"/>
          <w:szCs w:val="20"/>
        </w:rPr>
        <w:t>операции на открытом сердце с использование</w:t>
      </w:r>
      <w:r w:rsidRPr="001F0B08">
        <w:rPr>
          <w:rFonts w:ascii="Times New Roman" w:eastAsia="Calibri" w:hAnsi="Times New Roman" w:cs="Times New Roman"/>
          <w:sz w:val="20"/>
          <w:szCs w:val="20"/>
        </w:rPr>
        <w:t>м</w:t>
      </w:r>
      <w:r w:rsidR="004825C6" w:rsidRPr="001F0B08">
        <w:rPr>
          <w:rFonts w:ascii="Times New Roman" w:eastAsia="Calibri" w:hAnsi="Times New Roman" w:cs="Times New Roman"/>
          <w:sz w:val="20"/>
          <w:szCs w:val="20"/>
        </w:rPr>
        <w:t xml:space="preserve"> аппаратов искусственного кровообращения и </w:t>
      </w:r>
      <w:proofErr w:type="spellStart"/>
      <w:proofErr w:type="gramStart"/>
      <w:r w:rsidR="004825C6" w:rsidRPr="001F0B08">
        <w:rPr>
          <w:rFonts w:ascii="Times New Roman" w:eastAsia="Calibri" w:hAnsi="Times New Roman" w:cs="Times New Roman"/>
          <w:sz w:val="20"/>
          <w:szCs w:val="20"/>
        </w:rPr>
        <w:t>др</w:t>
      </w:r>
      <w:proofErr w:type="spellEnd"/>
      <w:proofErr w:type="gramEnd"/>
      <w:r w:rsidR="004825C6" w:rsidRPr="001F0B08">
        <w:rPr>
          <w:rFonts w:ascii="Times New Roman" w:eastAsia="Calibri" w:hAnsi="Times New Roman" w:cs="Times New Roman"/>
          <w:sz w:val="20"/>
          <w:szCs w:val="20"/>
        </w:rPr>
        <w:t>;</w:t>
      </w:r>
      <w:r w:rsidR="004825C6" w:rsidRPr="001F0B08">
        <w:rPr>
          <w:rFonts w:ascii="Times New Roman" w:eastAsia="Calibri" w:hAnsi="Times New Roman" w:cs="Times New Roman"/>
          <w:sz w:val="20"/>
          <w:szCs w:val="20"/>
        </w:rPr>
        <w:br/>
        <w:t xml:space="preserve">- кровотечение на фоне </w:t>
      </w:r>
      <w:proofErr w:type="spellStart"/>
      <w:r w:rsidR="004825C6" w:rsidRPr="001F0B08">
        <w:rPr>
          <w:rFonts w:ascii="Times New Roman" w:eastAsia="Calibri" w:hAnsi="Times New Roman" w:cs="Times New Roman"/>
          <w:sz w:val="20"/>
          <w:szCs w:val="20"/>
        </w:rPr>
        <w:t>гиперфибринолиза</w:t>
      </w:r>
      <w:proofErr w:type="spellEnd"/>
      <w:r w:rsidR="004825C6" w:rsidRPr="001F0B08">
        <w:rPr>
          <w:rFonts w:ascii="Times New Roman" w:eastAsia="Calibri" w:hAnsi="Times New Roman" w:cs="Times New Roman"/>
          <w:sz w:val="20"/>
          <w:szCs w:val="20"/>
        </w:rPr>
        <w:t xml:space="preserve">: </w:t>
      </w:r>
      <w:r w:rsidR="004825C6" w:rsidRPr="001F0B08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посттравматическое, послеоперационное (особенно при операциях на предстательной железе, легких), до и после </w:t>
      </w:r>
      <w:proofErr w:type="gramStart"/>
      <w:r w:rsidR="004825C6" w:rsidRPr="001F0B08">
        <w:rPr>
          <w:rFonts w:ascii="Times New Roman" w:eastAsia="Calibri" w:hAnsi="Times New Roman" w:cs="Times New Roman"/>
          <w:sz w:val="20"/>
          <w:szCs w:val="20"/>
        </w:rPr>
        <w:t xml:space="preserve">и во время родов (в </w:t>
      </w:r>
      <w:proofErr w:type="spellStart"/>
      <w:r w:rsidR="004825C6" w:rsidRPr="001F0B08">
        <w:rPr>
          <w:rFonts w:ascii="Times New Roman" w:eastAsia="Calibri" w:hAnsi="Times New Roman" w:cs="Times New Roman"/>
          <w:sz w:val="20"/>
          <w:szCs w:val="20"/>
        </w:rPr>
        <w:t>т.ч</w:t>
      </w:r>
      <w:proofErr w:type="spellEnd"/>
      <w:r w:rsidR="004825C6" w:rsidRPr="001F0B08">
        <w:rPr>
          <w:rFonts w:ascii="Times New Roman" w:eastAsia="Calibri" w:hAnsi="Times New Roman" w:cs="Times New Roman"/>
          <w:sz w:val="20"/>
          <w:szCs w:val="20"/>
        </w:rPr>
        <w:t xml:space="preserve">. при эмболии околоплодными водами), </w:t>
      </w:r>
      <w:proofErr w:type="spellStart"/>
      <w:r w:rsidR="004825C6" w:rsidRPr="001F0B08">
        <w:rPr>
          <w:rFonts w:ascii="Times New Roman" w:eastAsia="Calibri" w:hAnsi="Times New Roman" w:cs="Times New Roman"/>
          <w:sz w:val="20"/>
          <w:szCs w:val="20"/>
        </w:rPr>
        <w:t>полименорея</w:t>
      </w:r>
      <w:proofErr w:type="spellEnd"/>
      <w:r w:rsidR="004825C6" w:rsidRPr="001F0B08">
        <w:rPr>
          <w:rFonts w:ascii="Times New Roman" w:eastAsia="Calibri" w:hAnsi="Times New Roman" w:cs="Times New Roman"/>
          <w:sz w:val="20"/>
          <w:szCs w:val="20"/>
        </w:rPr>
        <w:t>;</w:t>
      </w:r>
      <w:r w:rsidR="004825C6" w:rsidRPr="001F0B08">
        <w:rPr>
          <w:rFonts w:ascii="Times New Roman" w:eastAsia="Calibri" w:hAnsi="Times New Roman" w:cs="Times New Roman"/>
          <w:sz w:val="20"/>
          <w:szCs w:val="20"/>
        </w:rPr>
        <w:br/>
        <w:t>- ангионевротический отек;</w:t>
      </w:r>
      <w:r w:rsidR="004825C6" w:rsidRPr="001F0B08">
        <w:rPr>
          <w:rFonts w:ascii="Times New Roman" w:eastAsia="Calibri" w:hAnsi="Times New Roman" w:cs="Times New Roman"/>
          <w:sz w:val="20"/>
          <w:szCs w:val="20"/>
        </w:rPr>
        <w:br/>
        <w:t>- шок (токсический; травматический, ожоговый, геморрагический);</w:t>
      </w:r>
      <w:r w:rsidR="004825C6" w:rsidRPr="001F0B08">
        <w:rPr>
          <w:rFonts w:ascii="Times New Roman" w:eastAsia="Calibri" w:hAnsi="Times New Roman" w:cs="Times New Roman"/>
          <w:sz w:val="20"/>
          <w:szCs w:val="20"/>
        </w:rPr>
        <w:br/>
        <w:t>- обширные и глубокие травматические повреждения тканей;</w:t>
      </w:r>
      <w:r w:rsidR="004825C6" w:rsidRPr="001F0B08">
        <w:rPr>
          <w:rFonts w:ascii="Times New Roman" w:eastAsia="Calibri" w:hAnsi="Times New Roman" w:cs="Times New Roman"/>
          <w:sz w:val="20"/>
          <w:szCs w:val="20"/>
        </w:rPr>
        <w:br/>
        <w:t xml:space="preserve">- в качестве вспомогательной терапии - </w:t>
      </w:r>
      <w:proofErr w:type="spellStart"/>
      <w:r w:rsidR="004825C6" w:rsidRPr="001F0B08">
        <w:rPr>
          <w:rFonts w:ascii="Times New Roman" w:eastAsia="Calibri" w:hAnsi="Times New Roman" w:cs="Times New Roman"/>
          <w:sz w:val="20"/>
          <w:szCs w:val="20"/>
        </w:rPr>
        <w:t>коагулопатии</w:t>
      </w:r>
      <w:proofErr w:type="spellEnd"/>
      <w:r w:rsidR="004825C6" w:rsidRPr="001F0B08">
        <w:rPr>
          <w:rFonts w:ascii="Times New Roman" w:eastAsia="Calibri" w:hAnsi="Times New Roman" w:cs="Times New Roman"/>
          <w:sz w:val="20"/>
          <w:szCs w:val="20"/>
        </w:rPr>
        <w:t xml:space="preserve">, характеризующиеся вторичным </w:t>
      </w:r>
      <w:proofErr w:type="spellStart"/>
      <w:r w:rsidR="004825C6" w:rsidRPr="001F0B08">
        <w:rPr>
          <w:rFonts w:ascii="Times New Roman" w:eastAsia="Calibri" w:hAnsi="Times New Roman" w:cs="Times New Roman"/>
          <w:sz w:val="20"/>
          <w:szCs w:val="20"/>
        </w:rPr>
        <w:t>гиперфибринолизом</w:t>
      </w:r>
      <w:proofErr w:type="spellEnd"/>
      <w:r w:rsidR="004825C6" w:rsidRPr="001F0B08">
        <w:rPr>
          <w:rFonts w:ascii="Times New Roman" w:eastAsia="Calibri" w:hAnsi="Times New Roman" w:cs="Times New Roman"/>
          <w:sz w:val="20"/>
          <w:szCs w:val="20"/>
        </w:rPr>
        <w:t xml:space="preserve"> (в начальной фазе, до наступления эффекта после применения гепарина и замещения факторов свертывания);</w:t>
      </w:r>
      <w:r w:rsidR="004825C6" w:rsidRPr="001F0B08">
        <w:rPr>
          <w:rFonts w:ascii="Times New Roman" w:eastAsia="Calibri" w:hAnsi="Times New Roman" w:cs="Times New Roman"/>
          <w:sz w:val="20"/>
          <w:szCs w:val="20"/>
        </w:rPr>
        <w:br/>
        <w:t xml:space="preserve">- массивное кровотечение (во время </w:t>
      </w:r>
      <w:proofErr w:type="spellStart"/>
      <w:r w:rsidR="004825C6" w:rsidRPr="001F0B08">
        <w:rPr>
          <w:rFonts w:ascii="Times New Roman" w:eastAsia="Calibri" w:hAnsi="Times New Roman" w:cs="Times New Roman"/>
          <w:sz w:val="20"/>
          <w:szCs w:val="20"/>
        </w:rPr>
        <w:t>тромболитической</w:t>
      </w:r>
      <w:proofErr w:type="spellEnd"/>
      <w:r w:rsidR="004825C6" w:rsidRPr="001F0B08">
        <w:rPr>
          <w:rFonts w:ascii="Times New Roman" w:eastAsia="Calibri" w:hAnsi="Times New Roman" w:cs="Times New Roman"/>
          <w:sz w:val="20"/>
          <w:szCs w:val="20"/>
        </w:rPr>
        <w:t xml:space="preserve"> терапии), при проведении экстракорпорального кровообращения;</w:t>
      </w:r>
      <w:proofErr w:type="gramEnd"/>
      <w:r w:rsidR="004825C6" w:rsidRPr="001F0B08">
        <w:rPr>
          <w:rFonts w:ascii="Times New Roman" w:eastAsia="Calibri" w:hAnsi="Times New Roman" w:cs="Times New Roman"/>
          <w:sz w:val="20"/>
          <w:szCs w:val="20"/>
        </w:rPr>
        <w:br/>
        <w:t xml:space="preserve">- профилактика послеоперационных легочных эмболий и кровотечений, жировой эмболии при </w:t>
      </w:r>
      <w:proofErr w:type="spellStart"/>
      <w:r w:rsidR="004825C6" w:rsidRPr="001F0B08">
        <w:rPr>
          <w:rFonts w:ascii="Times New Roman" w:eastAsia="Calibri" w:hAnsi="Times New Roman" w:cs="Times New Roman"/>
          <w:sz w:val="20"/>
          <w:szCs w:val="20"/>
        </w:rPr>
        <w:t>политравмах</w:t>
      </w:r>
      <w:proofErr w:type="spellEnd"/>
      <w:r w:rsidR="004825C6" w:rsidRPr="001F0B08">
        <w:rPr>
          <w:rFonts w:ascii="Times New Roman" w:eastAsia="Calibri" w:hAnsi="Times New Roman" w:cs="Times New Roman"/>
          <w:sz w:val="20"/>
          <w:szCs w:val="20"/>
        </w:rPr>
        <w:t>, особенно при переломах нижних конечностей и костей черепа.</w:t>
      </w:r>
    </w:p>
    <w:p w:rsidR="00325870" w:rsidRPr="001F0B08" w:rsidRDefault="00325870" w:rsidP="004825C6">
      <w:pPr>
        <w:spacing w:after="160" w:line="259" w:lineRule="auto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</w:pPr>
      <w:r w:rsidRPr="001F0B08"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Противопоказания</w:t>
      </w:r>
      <w:r w:rsidR="004825C6" w:rsidRPr="001F0B08"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:</w:t>
      </w:r>
    </w:p>
    <w:p w:rsidR="004825C6" w:rsidRPr="001F0B08" w:rsidRDefault="004825C6" w:rsidP="004825C6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- повышенная чувствительность к белку крупного рогатого скота, к </w:t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апротинину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, </w:t>
      </w:r>
      <w:proofErr w:type="gramStart"/>
      <w:r w:rsidRPr="001F0B08">
        <w:rPr>
          <w:rFonts w:ascii="Times New Roman" w:eastAsia="Calibri" w:hAnsi="Times New Roman" w:cs="Times New Roman"/>
          <w:sz w:val="20"/>
          <w:szCs w:val="20"/>
        </w:rPr>
        <w:t>пациенты</w:t>
      </w:r>
      <w:proofErr w:type="gram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у которых имеются антитела к </w:t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апротинину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или же установлено применение </w:t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апротинина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в течение предшествующих 12 месяцев, в случае невозможности определения антител к </w:t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апротинину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>;</w:t>
      </w:r>
      <w:r w:rsidRPr="001F0B08">
        <w:rPr>
          <w:rFonts w:ascii="Times New Roman" w:eastAsia="Calibri" w:hAnsi="Times New Roman" w:cs="Times New Roman"/>
          <w:sz w:val="20"/>
          <w:szCs w:val="20"/>
        </w:rPr>
        <w:br/>
        <w:t xml:space="preserve">- ДВС-синдром (за исключением фазы </w:t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коагулопатии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>);</w:t>
      </w:r>
    </w:p>
    <w:p w:rsidR="004825C6" w:rsidRPr="001F0B08" w:rsidRDefault="004825C6" w:rsidP="004825C6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  <w:r w:rsidRPr="001F0B08">
        <w:rPr>
          <w:rFonts w:ascii="Times New Roman" w:eastAsia="Calibri" w:hAnsi="Times New Roman" w:cs="Times New Roman"/>
          <w:sz w:val="20"/>
          <w:szCs w:val="20"/>
        </w:rPr>
        <w:t>- возраст до 18 лет;</w:t>
      </w:r>
      <w:r w:rsidRPr="001F0B08">
        <w:rPr>
          <w:rFonts w:ascii="Times New Roman" w:eastAsia="Calibri" w:hAnsi="Times New Roman" w:cs="Times New Roman"/>
          <w:sz w:val="20"/>
          <w:szCs w:val="20"/>
        </w:rPr>
        <w:br/>
        <w:t xml:space="preserve">-  I триместр беременности (II и III триместры </w:t>
      </w:r>
      <w:proofErr w:type="gramStart"/>
      <w:r w:rsidRPr="001F0B08">
        <w:rPr>
          <w:rFonts w:ascii="Times New Roman" w:eastAsia="Calibri" w:hAnsi="Times New Roman" w:cs="Times New Roman"/>
          <w:sz w:val="20"/>
          <w:szCs w:val="20"/>
        </w:rPr>
        <w:t>беременности</w:t>
      </w:r>
      <w:proofErr w:type="gram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в крайнем случае), период лактации.</w:t>
      </w:r>
      <w:r w:rsidRPr="001F0B08">
        <w:rPr>
          <w:rFonts w:ascii="Times New Roman" w:eastAsia="Calibri" w:hAnsi="Times New Roman" w:cs="Times New Roman"/>
          <w:sz w:val="20"/>
          <w:szCs w:val="20"/>
        </w:rPr>
        <w:br/>
      </w:r>
      <w:r w:rsidRPr="001F0B08">
        <w:rPr>
          <w:rFonts w:ascii="Times New Roman" w:eastAsia="Calibri" w:hAnsi="Times New Roman" w:cs="Times New Roman"/>
          <w:b/>
          <w:sz w:val="20"/>
          <w:szCs w:val="20"/>
        </w:rPr>
        <w:t xml:space="preserve">С осторожностью: </w:t>
      </w:r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кардиопульмональные шунтирующие операции, глубокая гипотермия, остановка кровообращения в ходе операции с использованием аппарата искусственного кровообращения (риск развития почечной недостаточности и летального исхода), аллергические реакции в анамнезе, предшествующее лечение </w:t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апротинином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, а также пациентам, которые за 2-3 дня до этого получали </w:t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миорелаксанты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>.</w:t>
      </w:r>
    </w:p>
    <w:p w:rsidR="004825C6" w:rsidRPr="001F0B08" w:rsidRDefault="004825C6" w:rsidP="004825C6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  <w:r w:rsidRPr="001F0B08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Меры предосторожности: </w:t>
      </w:r>
      <w:proofErr w:type="gramStart"/>
      <w:r w:rsidRPr="001F0B08">
        <w:rPr>
          <w:rFonts w:ascii="Times New Roman" w:eastAsia="Calibri" w:hAnsi="Times New Roman" w:cs="Times New Roman"/>
          <w:sz w:val="20"/>
          <w:szCs w:val="20"/>
        </w:rPr>
        <w:t>В/в вводят только в положении лежа.</w:t>
      </w:r>
      <w:proofErr w:type="gram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gramStart"/>
      <w:r w:rsidRPr="001F0B08">
        <w:rPr>
          <w:rFonts w:ascii="Times New Roman" w:eastAsia="Calibri" w:hAnsi="Times New Roman" w:cs="Times New Roman"/>
          <w:sz w:val="20"/>
          <w:szCs w:val="20"/>
        </w:rPr>
        <w:t>В связи с высоким риском развития аллергических реакций и анафилактического шока перед применением необходимо провести тест - дозу (1 мл -10000 КИЕ) в/в  за 10 минут до введения терапевтической дозы для выявления возможной индивидуальной гиперчувствительности.</w:t>
      </w:r>
      <w:proofErr w:type="gram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Если пробная доза не вызвала аллергии можно ввести терапевтическую дозу. За 15 минут до введения терапевтический дозы возможно применение блокаторов Н</w:t>
      </w:r>
      <w:proofErr w:type="gramStart"/>
      <w:r w:rsidRPr="001F0B08">
        <w:rPr>
          <w:rFonts w:ascii="Times New Roman" w:eastAsia="Calibri" w:hAnsi="Times New Roman" w:cs="Times New Roman"/>
          <w:sz w:val="20"/>
          <w:szCs w:val="20"/>
        </w:rPr>
        <w:t>1</w:t>
      </w:r>
      <w:proofErr w:type="gram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рецепторов (</w:t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клемастин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>) и Н2 рецепторов (</w:t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циметидин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>).</w:t>
      </w:r>
    </w:p>
    <w:p w:rsidR="004825C6" w:rsidRPr="001F0B08" w:rsidRDefault="004825C6" w:rsidP="004825C6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С осторожностью следует назначать лицам, склонным к аллергическим реакциям, а также пациентам, которые за 2–3 дня до этого получали </w:t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миорелаксанты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. При развитии анафилактических реакций введение немедленно прекращают и проводят соответствующую терапию. </w:t>
      </w:r>
    </w:p>
    <w:p w:rsidR="00325870" w:rsidRPr="001F0B08" w:rsidRDefault="00325870" w:rsidP="0032587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lang w:eastAsia="ru-RU"/>
        </w:rPr>
      </w:pPr>
      <w:r w:rsidRPr="001F0B08"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lastRenderedPageBreak/>
        <w:t>Применение при беременности и кормлении грудью</w:t>
      </w:r>
      <w:r w:rsidR="004825C6" w:rsidRPr="001F0B08"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:</w:t>
      </w:r>
    </w:p>
    <w:p w:rsidR="00325870" w:rsidRPr="001F0B08" w:rsidRDefault="00325870" w:rsidP="0032587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62626" w:themeColor="text1" w:themeTint="D9"/>
          <w:sz w:val="20"/>
          <w:szCs w:val="20"/>
          <w:lang w:eastAsia="ru-RU"/>
        </w:rPr>
      </w:pPr>
      <w:r w:rsidRPr="001F0B08">
        <w:rPr>
          <w:rFonts w:ascii="Times New Roman" w:eastAsia="Times New Roman" w:hAnsi="Times New Roman" w:cs="Times New Roman"/>
          <w:color w:val="262626" w:themeColor="text1" w:themeTint="D9"/>
          <w:sz w:val="20"/>
          <w:szCs w:val="20"/>
          <w:lang w:eastAsia="ru-RU"/>
        </w:rPr>
        <w:t xml:space="preserve">Если того требуют </w:t>
      </w:r>
      <w:r w:rsidR="00E04463" w:rsidRPr="001F0B08">
        <w:rPr>
          <w:rFonts w:ascii="Times New Roman" w:eastAsia="Times New Roman" w:hAnsi="Times New Roman" w:cs="Times New Roman"/>
          <w:color w:val="262626" w:themeColor="text1" w:themeTint="D9"/>
          <w:sz w:val="20"/>
          <w:szCs w:val="20"/>
          <w:lang w:eastAsia="ru-RU"/>
        </w:rPr>
        <w:t xml:space="preserve">жизненные показания, данное  лекарственное </w:t>
      </w:r>
      <w:r w:rsidRPr="001F0B08">
        <w:rPr>
          <w:rFonts w:ascii="Times New Roman" w:eastAsia="Times New Roman" w:hAnsi="Times New Roman" w:cs="Times New Roman"/>
          <w:color w:val="262626" w:themeColor="text1" w:themeTint="D9"/>
          <w:sz w:val="20"/>
          <w:szCs w:val="20"/>
          <w:lang w:eastAsia="ru-RU"/>
        </w:rPr>
        <w:t>средство возможно применять у б</w:t>
      </w:r>
      <w:r w:rsidR="00E04463" w:rsidRPr="001F0B08">
        <w:rPr>
          <w:rFonts w:ascii="Times New Roman" w:eastAsia="Times New Roman" w:hAnsi="Times New Roman" w:cs="Times New Roman"/>
          <w:color w:val="262626" w:themeColor="text1" w:themeTint="D9"/>
          <w:sz w:val="20"/>
          <w:szCs w:val="20"/>
          <w:lang w:eastAsia="ru-RU"/>
        </w:rPr>
        <w:t>еременных, но только после 12</w:t>
      </w:r>
      <w:r w:rsidRPr="001F0B08">
        <w:rPr>
          <w:rFonts w:ascii="Times New Roman" w:eastAsia="Times New Roman" w:hAnsi="Times New Roman" w:cs="Times New Roman"/>
          <w:color w:val="262626" w:themeColor="text1" w:themeTint="D9"/>
          <w:sz w:val="20"/>
          <w:szCs w:val="20"/>
          <w:lang w:eastAsia="ru-RU"/>
        </w:rPr>
        <w:t xml:space="preserve"> недель вынашивания плода и под строгим врачебным надзором.</w:t>
      </w:r>
    </w:p>
    <w:p w:rsidR="00325870" w:rsidRPr="001F0B08" w:rsidRDefault="00325870" w:rsidP="0032587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</w:pPr>
      <w:r w:rsidRPr="001F0B08"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Способ применения и дозы</w:t>
      </w:r>
      <w:r w:rsidR="004825C6" w:rsidRPr="001F0B08"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:</w:t>
      </w:r>
    </w:p>
    <w:p w:rsidR="004825C6" w:rsidRPr="001F0B08" w:rsidRDefault="004825C6" w:rsidP="004825C6">
      <w:pPr>
        <w:spacing w:after="160" w:line="259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1F0B08">
        <w:rPr>
          <w:rFonts w:ascii="Times New Roman" w:eastAsia="Calibri" w:hAnsi="Times New Roman" w:cs="Times New Roman"/>
          <w:bCs/>
          <w:sz w:val="20"/>
          <w:szCs w:val="20"/>
        </w:rPr>
        <w:t>Доза подбирается индивидуально, в зависимости от диагноза, состояния больного, оперативной ситуации.</w:t>
      </w:r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 Вводить следует через магистральные вены, не использовать их для введения других препаратов. Препарат вводят только в положении «лежа», внутривенно, струйно, медленно (максимально - 5 мл в минуту) или капельно в 300 - 500 мл изотонического раствора натрия хлорида.</w:t>
      </w:r>
      <w:r w:rsidRPr="001F0B08">
        <w:rPr>
          <w:rFonts w:ascii="Times New Roman" w:eastAsia="Calibri" w:hAnsi="Times New Roman" w:cs="Times New Roman"/>
          <w:sz w:val="20"/>
          <w:szCs w:val="20"/>
        </w:rPr>
        <w:br/>
      </w:r>
      <w:r w:rsidRPr="001F0B0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proofErr w:type="gramStart"/>
      <w:r w:rsidRPr="001F0B08">
        <w:rPr>
          <w:rFonts w:ascii="Times New Roman" w:eastAsia="Calibri" w:hAnsi="Times New Roman" w:cs="Times New Roman"/>
          <w:b/>
          <w:sz w:val="20"/>
          <w:szCs w:val="20"/>
        </w:rPr>
        <w:t xml:space="preserve">Панкреатит острый: </w:t>
      </w:r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по 300 тыс. – 10 тыс. КИЕ (0,5-1 </w:t>
      </w:r>
      <w:r w:rsidR="00E04463" w:rsidRPr="001F0B08">
        <w:rPr>
          <w:rFonts w:ascii="Times New Roman" w:eastAsia="Calibri" w:hAnsi="Times New Roman" w:cs="Times New Roman"/>
          <w:sz w:val="20"/>
          <w:szCs w:val="20"/>
        </w:rPr>
        <w:t>млн.</w:t>
      </w:r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КИЕ с последующим уменьшением в течение 2-6 суток до 50-300 тыс. КИЕ </w:t>
      </w:r>
      <w:r w:rsidR="00E04463" w:rsidRPr="001F0B08">
        <w:rPr>
          <w:rFonts w:ascii="Times New Roman" w:eastAsia="Calibri" w:hAnsi="Times New Roman" w:cs="Times New Roman"/>
          <w:sz w:val="20"/>
          <w:szCs w:val="20"/>
        </w:rPr>
        <w:t xml:space="preserve">в сутки </w:t>
      </w:r>
      <w:r w:rsidRPr="001F0B08">
        <w:rPr>
          <w:rFonts w:ascii="Times New Roman" w:eastAsia="Calibri" w:hAnsi="Times New Roman" w:cs="Times New Roman"/>
          <w:sz w:val="20"/>
          <w:szCs w:val="20"/>
        </w:rPr>
        <w:t>до полной отмены (после исчезновен</w:t>
      </w:r>
      <w:r w:rsidR="00E04463" w:rsidRPr="001F0B08">
        <w:rPr>
          <w:rFonts w:ascii="Times New Roman" w:eastAsia="Calibri" w:hAnsi="Times New Roman" w:cs="Times New Roman"/>
          <w:sz w:val="20"/>
          <w:szCs w:val="20"/>
        </w:rPr>
        <w:t xml:space="preserve">ия ферментной токсемии) </w:t>
      </w:r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в течение 2-6 суток. </w:t>
      </w:r>
      <w:proofErr w:type="gramEnd"/>
    </w:p>
    <w:p w:rsidR="004825C6" w:rsidRPr="001F0B08" w:rsidRDefault="004825C6" w:rsidP="004825C6">
      <w:pPr>
        <w:spacing w:after="160" w:line="259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1F0B08">
        <w:rPr>
          <w:rFonts w:ascii="Times New Roman" w:eastAsia="Calibri" w:hAnsi="Times New Roman" w:cs="Times New Roman"/>
          <w:b/>
          <w:sz w:val="20"/>
          <w:szCs w:val="20"/>
        </w:rPr>
        <w:t xml:space="preserve">При обострении хронического панкреатита: </w:t>
      </w:r>
      <w:r w:rsidRPr="001F0B08">
        <w:rPr>
          <w:rFonts w:ascii="Times New Roman" w:eastAsia="Calibri" w:hAnsi="Times New Roman" w:cs="Times New Roman"/>
          <w:sz w:val="20"/>
          <w:szCs w:val="20"/>
        </w:rPr>
        <w:t>по 25-50 тыс. КИЕ в сутки  в течение 3-6 суток, для профилактики травматического панкреатита 200 тыс. КИЕ до операции и затем по 100 тыс. КИЕ каждые 6 ч в течение 2 суток после вмешательства.</w:t>
      </w:r>
      <w:r w:rsidRPr="001F0B0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</w:p>
    <w:p w:rsidR="004825C6" w:rsidRPr="001F0B08" w:rsidRDefault="004825C6" w:rsidP="004825C6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  <w:r w:rsidRPr="001F0B08">
        <w:rPr>
          <w:rFonts w:ascii="Times New Roman" w:eastAsia="Calibri" w:hAnsi="Times New Roman" w:cs="Times New Roman"/>
          <w:b/>
          <w:sz w:val="20"/>
          <w:szCs w:val="20"/>
        </w:rPr>
        <w:t xml:space="preserve">При кровотечениях и кровоизлияниях связанных с </w:t>
      </w:r>
      <w:proofErr w:type="spellStart"/>
      <w:r w:rsidRPr="001F0B08">
        <w:rPr>
          <w:rFonts w:ascii="Times New Roman" w:eastAsia="Calibri" w:hAnsi="Times New Roman" w:cs="Times New Roman"/>
          <w:b/>
          <w:sz w:val="20"/>
          <w:szCs w:val="20"/>
        </w:rPr>
        <w:t>гиперфибринолизом</w:t>
      </w:r>
      <w:proofErr w:type="spellEnd"/>
      <w:r w:rsidRPr="001F0B08">
        <w:rPr>
          <w:rFonts w:ascii="Times New Roman" w:eastAsia="Calibri" w:hAnsi="Times New Roman" w:cs="Times New Roman"/>
          <w:b/>
          <w:sz w:val="20"/>
          <w:szCs w:val="20"/>
        </w:rPr>
        <w:t xml:space="preserve">:  </w:t>
      </w:r>
      <w:r w:rsidRPr="001F0B08">
        <w:rPr>
          <w:rFonts w:ascii="Times New Roman" w:eastAsia="Calibri" w:hAnsi="Times New Roman" w:cs="Times New Roman"/>
          <w:sz w:val="20"/>
          <w:szCs w:val="20"/>
        </w:rPr>
        <w:t>в/в капельно 100-200 тыс.  КИЕ при необходимости до 500 тыс. КИЕ (в зависимости от интенсивности кровотечения).</w:t>
      </w:r>
    </w:p>
    <w:p w:rsidR="004825C6" w:rsidRPr="001F0B08" w:rsidRDefault="004825C6" w:rsidP="004825C6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1F0B08">
        <w:rPr>
          <w:rFonts w:ascii="Times New Roman" w:eastAsia="Calibri" w:hAnsi="Times New Roman" w:cs="Times New Roman"/>
          <w:b/>
          <w:sz w:val="20"/>
          <w:szCs w:val="20"/>
        </w:rPr>
        <w:t>Гиперфибринолитическая</w:t>
      </w:r>
      <w:proofErr w:type="spellEnd"/>
      <w:r w:rsidRPr="001F0B0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proofErr w:type="spellStart"/>
      <w:r w:rsidRPr="001F0B08">
        <w:rPr>
          <w:rFonts w:ascii="Times New Roman" w:eastAsia="Calibri" w:hAnsi="Times New Roman" w:cs="Times New Roman"/>
          <w:b/>
          <w:sz w:val="20"/>
          <w:szCs w:val="20"/>
        </w:rPr>
        <w:t>коагулопатия</w:t>
      </w:r>
      <w:proofErr w:type="spellEnd"/>
      <w:r w:rsidRPr="001F0B08">
        <w:rPr>
          <w:rFonts w:ascii="Times New Roman" w:eastAsia="Calibri" w:hAnsi="Times New Roman" w:cs="Times New Roman"/>
          <w:b/>
          <w:sz w:val="20"/>
          <w:szCs w:val="20"/>
        </w:rPr>
        <w:t xml:space="preserve">: </w:t>
      </w:r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начальная доза – 1 млн., поддерживающая доза по 50 тыс. </w:t>
      </w:r>
      <w:proofErr w:type="gramStart"/>
      <w:r w:rsidRPr="001F0B08">
        <w:rPr>
          <w:rFonts w:ascii="Times New Roman" w:eastAsia="Calibri" w:hAnsi="Times New Roman" w:cs="Times New Roman"/>
          <w:sz w:val="20"/>
          <w:szCs w:val="20"/>
        </w:rPr>
        <w:t>КИЕ</w:t>
      </w:r>
      <w:proofErr w:type="gram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 в час.</w:t>
      </w:r>
    </w:p>
    <w:p w:rsidR="004825C6" w:rsidRPr="001F0B08" w:rsidRDefault="004825C6" w:rsidP="004825C6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  <w:r w:rsidRPr="001F0B08">
        <w:rPr>
          <w:rFonts w:ascii="Times New Roman" w:eastAsia="Calibri" w:hAnsi="Times New Roman" w:cs="Times New Roman"/>
          <w:b/>
          <w:sz w:val="20"/>
          <w:szCs w:val="20"/>
        </w:rPr>
        <w:t xml:space="preserve">Во время хирургических вмешательств с целью профилактики до и  во время, после операции: </w:t>
      </w:r>
      <w:r w:rsidRPr="001F0B08">
        <w:rPr>
          <w:rFonts w:ascii="Times New Roman" w:eastAsia="Calibri" w:hAnsi="Times New Roman" w:cs="Times New Roman"/>
          <w:sz w:val="20"/>
          <w:szCs w:val="20"/>
        </w:rPr>
        <w:t>200-400 тыс. КИЕ, затем в течение 2 суток по 100 тыс. КИЕ.</w:t>
      </w:r>
    </w:p>
    <w:p w:rsidR="004825C6" w:rsidRPr="001F0B08" w:rsidRDefault="004825C6" w:rsidP="004825C6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  <w:r w:rsidRPr="001F0B08">
        <w:rPr>
          <w:rFonts w:ascii="Times New Roman" w:eastAsia="Calibri" w:hAnsi="Times New Roman" w:cs="Times New Roman"/>
          <w:b/>
          <w:sz w:val="20"/>
          <w:szCs w:val="20"/>
        </w:rPr>
        <w:t xml:space="preserve">В акушерской практике:  </w:t>
      </w:r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начальная доза 1 </w:t>
      </w:r>
      <w:r w:rsidR="001F0B08" w:rsidRPr="001F0B08">
        <w:rPr>
          <w:rFonts w:ascii="Times New Roman" w:eastAsia="Calibri" w:hAnsi="Times New Roman" w:cs="Times New Roman"/>
          <w:sz w:val="20"/>
          <w:szCs w:val="20"/>
        </w:rPr>
        <w:t>млн.</w:t>
      </w:r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КИЕ, затем каждый час 200 тыс. КИЕ до остановки кровотечения.</w:t>
      </w:r>
    </w:p>
    <w:p w:rsidR="004825C6" w:rsidRPr="001F0B08" w:rsidRDefault="004825C6" w:rsidP="004825C6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  <w:r w:rsidRPr="001F0B08">
        <w:rPr>
          <w:rFonts w:ascii="Times New Roman" w:eastAsia="Calibri" w:hAnsi="Times New Roman" w:cs="Times New Roman"/>
          <w:b/>
          <w:sz w:val="20"/>
          <w:szCs w:val="20"/>
        </w:rPr>
        <w:t xml:space="preserve">При шоке: </w:t>
      </w:r>
      <w:r w:rsidRPr="001F0B08">
        <w:rPr>
          <w:rFonts w:ascii="Times New Roman" w:eastAsia="Calibri" w:hAnsi="Times New Roman" w:cs="Times New Roman"/>
          <w:sz w:val="20"/>
          <w:szCs w:val="20"/>
        </w:rPr>
        <w:t>в начальной дозе 300 тыс. КИЕ – 400 тыс. КИЕ, затем по 200 тыс. КИЕ в/в, струйно, каждые 4 часа.</w:t>
      </w:r>
    </w:p>
    <w:p w:rsidR="004825C6" w:rsidRPr="001F0B08" w:rsidRDefault="004825C6" w:rsidP="004825C6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  <w:r w:rsidRPr="001F0B08">
        <w:rPr>
          <w:rFonts w:ascii="Times New Roman" w:eastAsia="Calibri" w:hAnsi="Times New Roman" w:cs="Times New Roman"/>
          <w:b/>
          <w:sz w:val="20"/>
          <w:szCs w:val="20"/>
        </w:rPr>
        <w:t xml:space="preserve">Операции на сердце: </w:t>
      </w:r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2 </w:t>
      </w:r>
      <w:r w:rsidR="001F0B08" w:rsidRPr="001F0B08">
        <w:rPr>
          <w:rFonts w:ascii="Times New Roman" w:eastAsia="Calibri" w:hAnsi="Times New Roman" w:cs="Times New Roman"/>
          <w:sz w:val="20"/>
          <w:szCs w:val="20"/>
        </w:rPr>
        <w:t>млн.</w:t>
      </w:r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КИЕ в начале анестезии в течение 30 минут, затем по 500 ты</w:t>
      </w:r>
      <w:r w:rsidR="001F0B08" w:rsidRPr="001F0B08">
        <w:rPr>
          <w:rFonts w:ascii="Times New Roman" w:eastAsia="Calibri" w:hAnsi="Times New Roman" w:cs="Times New Roman"/>
          <w:sz w:val="20"/>
          <w:szCs w:val="20"/>
        </w:rPr>
        <w:t>с</w:t>
      </w:r>
      <w:r w:rsidRPr="001F0B08">
        <w:rPr>
          <w:rFonts w:ascii="Times New Roman" w:eastAsia="Calibri" w:hAnsi="Times New Roman" w:cs="Times New Roman"/>
          <w:sz w:val="20"/>
          <w:szCs w:val="20"/>
        </w:rPr>
        <w:t>. КИЕ в час до окончания оперативного вмешательства.</w:t>
      </w:r>
    </w:p>
    <w:p w:rsidR="004825C6" w:rsidRPr="001F0B08" w:rsidRDefault="004825C6" w:rsidP="004825C6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  <w:r w:rsidRPr="001F0B08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Во время операций на открытом сердце (с аппаратом искусственного кровообращения) для снижения кровопотери и потребности в гемотрансфузии: </w:t>
      </w:r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начальная </w:t>
      </w:r>
      <w:r w:rsidR="001F0B08" w:rsidRPr="001F0B08">
        <w:rPr>
          <w:rFonts w:ascii="Times New Roman" w:eastAsia="Calibri" w:hAnsi="Times New Roman" w:cs="Times New Roman"/>
          <w:sz w:val="20"/>
          <w:szCs w:val="20"/>
        </w:rPr>
        <w:t>доза,</w:t>
      </w:r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составляющая 1-2 </w:t>
      </w:r>
      <w:r w:rsidR="001F0B08" w:rsidRPr="001F0B08">
        <w:rPr>
          <w:rFonts w:ascii="Times New Roman" w:eastAsia="Calibri" w:hAnsi="Times New Roman" w:cs="Times New Roman"/>
          <w:sz w:val="20"/>
          <w:szCs w:val="20"/>
        </w:rPr>
        <w:t>млн.</w:t>
      </w:r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КИЕ, вводится </w:t>
      </w:r>
      <w:proofErr w:type="gramStart"/>
      <w:r w:rsidRPr="001F0B08">
        <w:rPr>
          <w:rFonts w:ascii="Times New Roman" w:eastAsia="Calibri" w:hAnsi="Times New Roman" w:cs="Times New Roman"/>
          <w:sz w:val="20"/>
          <w:szCs w:val="20"/>
        </w:rPr>
        <w:t>в</w:t>
      </w:r>
      <w:proofErr w:type="gramEnd"/>
      <w:r w:rsidRPr="001F0B08">
        <w:rPr>
          <w:rFonts w:ascii="Times New Roman" w:eastAsia="Calibri" w:hAnsi="Times New Roman" w:cs="Times New Roman"/>
          <w:sz w:val="20"/>
          <w:szCs w:val="20"/>
        </w:rPr>
        <w:t>/</w:t>
      </w:r>
      <w:proofErr w:type="gramStart"/>
      <w:r w:rsidRPr="001F0B08">
        <w:rPr>
          <w:rFonts w:ascii="Times New Roman" w:eastAsia="Calibri" w:hAnsi="Times New Roman" w:cs="Times New Roman"/>
          <w:sz w:val="20"/>
          <w:szCs w:val="20"/>
        </w:rPr>
        <w:t>в</w:t>
      </w:r>
      <w:proofErr w:type="gram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медленно в течение 20-30 минут после начала анестезии  и до проведения </w:t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стернотомии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. </w:t>
      </w:r>
      <w:proofErr w:type="gramStart"/>
      <w:r w:rsidRPr="001F0B08">
        <w:rPr>
          <w:rFonts w:ascii="Times New Roman" w:eastAsia="Calibri" w:hAnsi="Times New Roman" w:cs="Times New Roman"/>
          <w:sz w:val="20"/>
          <w:szCs w:val="20"/>
        </w:rPr>
        <w:t>Следующие</w:t>
      </w:r>
      <w:proofErr w:type="gram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1-2 </w:t>
      </w:r>
      <w:r w:rsidR="001F0B08" w:rsidRPr="001F0B08">
        <w:rPr>
          <w:rFonts w:ascii="Times New Roman" w:eastAsia="Calibri" w:hAnsi="Times New Roman" w:cs="Times New Roman"/>
          <w:sz w:val="20"/>
          <w:szCs w:val="20"/>
        </w:rPr>
        <w:t>млн.</w:t>
      </w:r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КИЕ добавляют  к первичному объему аппарата «сердце-легкие». </w:t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Апротинин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следует добавлять к первичному объему в период рециркуляции для обеспечения достаточного разведения препарата и предотвращения взаимодействия с гепарином. После окончания </w:t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болюсного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введения устанавливают </w:t>
      </w:r>
      <w:proofErr w:type="gramStart"/>
      <w:r w:rsidRPr="001F0B08">
        <w:rPr>
          <w:rFonts w:ascii="Times New Roman" w:eastAsia="Calibri" w:hAnsi="Times New Roman" w:cs="Times New Roman"/>
          <w:sz w:val="20"/>
          <w:szCs w:val="20"/>
        </w:rPr>
        <w:lastRenderedPageBreak/>
        <w:t>постоянную</w:t>
      </w:r>
      <w:proofErr w:type="gram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инфузию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со скоростью введения 250-500 тыс. КИЕ/ч до окончания операции. Общее количество </w:t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апротинина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не должно превышать 7 млн. </w:t>
      </w:r>
      <w:proofErr w:type="gramStart"/>
      <w:r w:rsidRPr="001F0B08">
        <w:rPr>
          <w:rFonts w:ascii="Times New Roman" w:eastAsia="Calibri" w:hAnsi="Times New Roman" w:cs="Times New Roman"/>
          <w:sz w:val="20"/>
          <w:szCs w:val="20"/>
        </w:rPr>
        <w:t>КИЕ</w:t>
      </w:r>
      <w:proofErr w:type="gramEnd"/>
      <w:r w:rsidRPr="001F0B08">
        <w:rPr>
          <w:rFonts w:ascii="Times New Roman" w:eastAsia="Calibri" w:hAnsi="Times New Roman" w:cs="Times New Roman"/>
          <w:sz w:val="20"/>
          <w:szCs w:val="20"/>
        </w:rPr>
        <w:t>.</w:t>
      </w:r>
    </w:p>
    <w:p w:rsidR="00075774" w:rsidRPr="001F0B08" w:rsidRDefault="00075774" w:rsidP="00075774">
      <w:pPr>
        <w:spacing w:after="160" w:line="259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1F0B08">
        <w:rPr>
          <w:rFonts w:ascii="Times New Roman" w:eastAsia="Calibri" w:hAnsi="Times New Roman" w:cs="Times New Roman"/>
          <w:b/>
          <w:bCs/>
          <w:sz w:val="20"/>
          <w:szCs w:val="20"/>
        </w:rPr>
        <w:t>Лекарственное взаимодействие:</w:t>
      </w:r>
      <w:r w:rsidRPr="001F0B08">
        <w:rPr>
          <w:rFonts w:ascii="Times New Roman" w:eastAsia="Calibri" w:hAnsi="Times New Roman" w:cs="Times New Roman"/>
          <w:sz w:val="20"/>
          <w:szCs w:val="20"/>
        </w:rPr>
        <w:br/>
        <w:t xml:space="preserve">Добавление </w:t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апротинина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к </w:t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гепаринизированной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крови вызывает увеличение времени свертывания цельной крови. При одновременном применении с </w:t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реомакродексом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взаимно усиливается сенсибилизирующее действие. При одновременном применении </w:t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апротинин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, в зависимости от дозы, ингибирует действие </w:t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стрептокиназы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, </w:t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урокиназы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,  </w:t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альтеплазы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>.</w:t>
      </w:r>
      <w:r w:rsidRPr="001F0B08">
        <w:rPr>
          <w:rFonts w:ascii="Times New Roman" w:eastAsia="Calibri" w:hAnsi="Times New Roman" w:cs="Times New Roman"/>
          <w:sz w:val="20"/>
          <w:szCs w:val="20"/>
        </w:rPr>
        <w:br/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Апротинин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является слабым ингибитором сывороточной </w:t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псевдохолинэстеразы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. При одновременном применении это может способствовать замедлению метаболизма </w:t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суксаметония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хлорида и усилению </w:t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миорелаксации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>, имеется риск развития апноэ. Не следует применять в комбинации с бета-</w:t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лактамными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антибиотиками. Запрещается введение препарата вместе с </w:t>
      </w:r>
      <w:r w:rsidR="001F0B08" w:rsidRPr="001F0B08">
        <w:rPr>
          <w:rFonts w:ascii="Times New Roman" w:eastAsia="Calibri" w:hAnsi="Times New Roman" w:cs="Times New Roman"/>
          <w:sz w:val="20"/>
          <w:szCs w:val="20"/>
        </w:rPr>
        <w:t>растворами,</w:t>
      </w:r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содержащими  декстран, ГКС, р-рами для парентерального питания, содержащими аминокислоты и липиды.</w:t>
      </w:r>
      <w:r w:rsidRPr="001F0B08">
        <w:rPr>
          <w:rFonts w:ascii="Times New Roman" w:eastAsia="Calibri" w:hAnsi="Times New Roman" w:cs="Times New Roman"/>
          <w:sz w:val="20"/>
          <w:szCs w:val="20"/>
        </w:rPr>
        <w:br/>
      </w:r>
      <w:r w:rsidRPr="001F0B08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Особые указания: </w:t>
      </w:r>
      <w:r w:rsidRPr="001F0B08">
        <w:rPr>
          <w:rFonts w:ascii="Times New Roman" w:eastAsia="Calibri" w:hAnsi="Times New Roman" w:cs="Times New Roman"/>
          <w:bCs/>
          <w:sz w:val="20"/>
          <w:szCs w:val="20"/>
        </w:rPr>
        <w:t xml:space="preserve">До назначения </w:t>
      </w:r>
      <w:proofErr w:type="spellStart"/>
      <w:r w:rsidRPr="001F0B08">
        <w:rPr>
          <w:rFonts w:ascii="Times New Roman" w:eastAsia="Calibri" w:hAnsi="Times New Roman" w:cs="Times New Roman"/>
          <w:bCs/>
          <w:sz w:val="20"/>
          <w:szCs w:val="20"/>
        </w:rPr>
        <w:t>апротинина</w:t>
      </w:r>
      <w:proofErr w:type="spellEnd"/>
      <w:r w:rsidRPr="001F0B08">
        <w:rPr>
          <w:rFonts w:ascii="Times New Roman" w:eastAsia="Calibri" w:hAnsi="Times New Roman" w:cs="Times New Roman"/>
          <w:bCs/>
          <w:sz w:val="20"/>
          <w:szCs w:val="20"/>
        </w:rPr>
        <w:t xml:space="preserve"> каждому пациенту рекомендуется провести тест на наличие к нему антител  (иммуноглобулин </w:t>
      </w:r>
      <w:r w:rsidRPr="001F0B08">
        <w:rPr>
          <w:rFonts w:ascii="Times New Roman" w:eastAsia="Calibri" w:hAnsi="Times New Roman" w:cs="Times New Roman"/>
          <w:bCs/>
          <w:sz w:val="20"/>
          <w:szCs w:val="20"/>
          <w:lang w:val="en-US"/>
        </w:rPr>
        <w:t>G</w:t>
      </w:r>
      <w:r w:rsidRPr="001F0B08">
        <w:rPr>
          <w:rFonts w:ascii="Times New Roman" w:eastAsia="Calibri" w:hAnsi="Times New Roman" w:cs="Times New Roman"/>
          <w:bCs/>
          <w:sz w:val="20"/>
          <w:szCs w:val="20"/>
        </w:rPr>
        <w:t>).</w:t>
      </w:r>
    </w:p>
    <w:p w:rsidR="00075774" w:rsidRPr="001F0B08" w:rsidRDefault="00075774" w:rsidP="00075774">
      <w:pPr>
        <w:spacing w:after="160" w:line="259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1F0B08">
        <w:rPr>
          <w:rFonts w:ascii="Times New Roman" w:eastAsia="Calibri" w:hAnsi="Times New Roman" w:cs="Times New Roman"/>
          <w:bCs/>
          <w:sz w:val="20"/>
          <w:szCs w:val="20"/>
        </w:rPr>
        <w:t xml:space="preserve">При лечении проводится мониторинг  активности панкреатических ферментов, </w:t>
      </w:r>
      <w:proofErr w:type="spellStart"/>
      <w:r w:rsidRPr="001F0B08">
        <w:rPr>
          <w:rFonts w:ascii="Times New Roman" w:eastAsia="Calibri" w:hAnsi="Times New Roman" w:cs="Times New Roman"/>
          <w:bCs/>
          <w:sz w:val="20"/>
          <w:szCs w:val="20"/>
        </w:rPr>
        <w:t>калликреина</w:t>
      </w:r>
      <w:proofErr w:type="spellEnd"/>
      <w:r w:rsidRPr="001F0B08">
        <w:rPr>
          <w:rFonts w:ascii="Times New Roman" w:eastAsia="Calibri" w:hAnsi="Times New Roman" w:cs="Times New Roman"/>
          <w:bCs/>
          <w:sz w:val="20"/>
          <w:szCs w:val="20"/>
        </w:rPr>
        <w:t>, плазмина, тромбина.</w:t>
      </w:r>
    </w:p>
    <w:p w:rsidR="00075774" w:rsidRPr="001F0B08" w:rsidRDefault="00075774" w:rsidP="00075774">
      <w:pPr>
        <w:spacing w:after="160" w:line="259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1F0B08">
        <w:rPr>
          <w:rFonts w:ascii="Times New Roman" w:eastAsia="Calibri" w:hAnsi="Times New Roman" w:cs="Times New Roman"/>
          <w:bCs/>
          <w:sz w:val="20"/>
          <w:szCs w:val="20"/>
        </w:rPr>
        <w:t xml:space="preserve">При </w:t>
      </w:r>
      <w:proofErr w:type="spellStart"/>
      <w:r w:rsidRPr="001F0B08">
        <w:rPr>
          <w:rFonts w:ascii="Times New Roman" w:eastAsia="Calibri" w:hAnsi="Times New Roman" w:cs="Times New Roman"/>
          <w:bCs/>
          <w:sz w:val="20"/>
          <w:szCs w:val="20"/>
        </w:rPr>
        <w:t>гиперфибринолизе</w:t>
      </w:r>
      <w:proofErr w:type="spellEnd"/>
      <w:r w:rsidRPr="001F0B08">
        <w:rPr>
          <w:rFonts w:ascii="Times New Roman" w:eastAsia="Calibri" w:hAnsi="Times New Roman" w:cs="Times New Roman"/>
          <w:bCs/>
          <w:sz w:val="20"/>
          <w:szCs w:val="20"/>
        </w:rPr>
        <w:t xml:space="preserve"> используется на фоне введения гепарина.</w:t>
      </w:r>
      <w:r w:rsidRPr="001F0B08">
        <w:rPr>
          <w:rFonts w:ascii="Times New Roman" w:eastAsia="Calibri" w:hAnsi="Times New Roman" w:cs="Times New Roman"/>
          <w:sz w:val="20"/>
          <w:szCs w:val="20"/>
        </w:rPr>
        <w:br/>
        <w:t xml:space="preserve">Для лечения тяжелых анафилактических реакций наряду с общепринятыми мерами по оказанию  неотложной помощи немедленно вводят </w:t>
      </w:r>
      <w:proofErr w:type="gramStart"/>
      <w:r w:rsidRPr="001F0B08">
        <w:rPr>
          <w:rFonts w:ascii="Times New Roman" w:eastAsia="Calibri" w:hAnsi="Times New Roman" w:cs="Times New Roman"/>
          <w:sz w:val="20"/>
          <w:szCs w:val="20"/>
        </w:rPr>
        <w:t>в</w:t>
      </w:r>
      <w:proofErr w:type="gramEnd"/>
      <w:r w:rsidRPr="001F0B08">
        <w:rPr>
          <w:rFonts w:ascii="Times New Roman" w:eastAsia="Calibri" w:hAnsi="Times New Roman" w:cs="Times New Roman"/>
          <w:sz w:val="20"/>
          <w:szCs w:val="20"/>
        </w:rPr>
        <w:t>/</w:t>
      </w:r>
      <w:proofErr w:type="gramStart"/>
      <w:r w:rsidRPr="001F0B08">
        <w:rPr>
          <w:rFonts w:ascii="Times New Roman" w:eastAsia="Calibri" w:hAnsi="Times New Roman" w:cs="Times New Roman"/>
          <w:sz w:val="20"/>
          <w:szCs w:val="20"/>
        </w:rPr>
        <w:t>в</w:t>
      </w:r>
      <w:proofErr w:type="gram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адреналин (0,05-0,1 мг) (адреналин при необходимости вводят повторно), назначают ГКС в высоких дозах (например, 0,25-1 г преднизолона), применяют </w:t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плазмозаменители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>.</w:t>
      </w:r>
      <w:r w:rsidRPr="001F0B08">
        <w:rPr>
          <w:rFonts w:ascii="Times New Roman" w:eastAsia="Calibri" w:hAnsi="Times New Roman" w:cs="Times New Roman"/>
          <w:sz w:val="20"/>
          <w:szCs w:val="20"/>
        </w:rPr>
        <w:br/>
        <w:t>В случаях развития аллергических реакций и появления симптомов шока введение препарата следует немедленно прекратить.</w:t>
      </w:r>
      <w:r w:rsidRPr="001F0B08">
        <w:rPr>
          <w:rFonts w:ascii="Times New Roman" w:eastAsia="Calibri" w:hAnsi="Times New Roman" w:cs="Times New Roman"/>
          <w:sz w:val="20"/>
          <w:szCs w:val="20"/>
        </w:rPr>
        <w:br/>
        <w:t xml:space="preserve">При </w:t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гиперфибринолизе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и ДВС-синдроме применять </w:t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апротинин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можно только после устранения всех проявлений ДВС-синдрома и на фоне профилактического действия гепарина.</w:t>
      </w:r>
      <w:r w:rsidRPr="001F0B08">
        <w:rPr>
          <w:rFonts w:ascii="Times New Roman" w:eastAsia="Calibri" w:hAnsi="Times New Roman" w:cs="Times New Roman"/>
          <w:sz w:val="20"/>
          <w:szCs w:val="20"/>
        </w:rPr>
        <w:br/>
        <w:t>С осторожностью применять у пациентов, которым в течение предшествующих 2-3 дней вводили</w:t>
      </w:r>
      <w:r w:rsidRPr="001F0B08">
        <w:rPr>
          <w:rFonts w:ascii="Times New Roman" w:eastAsia="Calibri" w:hAnsi="Times New Roman" w:cs="Times New Roman"/>
          <w:sz w:val="20"/>
          <w:szCs w:val="20"/>
        </w:rPr>
        <w:br/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миорелаксанты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>.</w:t>
      </w:r>
      <w:r w:rsidRPr="001F0B08">
        <w:rPr>
          <w:rFonts w:ascii="Times New Roman" w:eastAsia="Calibri" w:hAnsi="Times New Roman" w:cs="Times New Roman"/>
          <w:sz w:val="20"/>
          <w:szCs w:val="20"/>
        </w:rPr>
        <w:br/>
        <w:t xml:space="preserve">Повторно использовать </w:t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апротинин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рекомендуется не раньше чем через 6 месяцев  после его  предыдущего применения. Риск развития реакций гиперчувствительности высок для пациентов, которым </w:t>
      </w:r>
      <w:proofErr w:type="spellStart"/>
      <w:r w:rsidRPr="001F0B08">
        <w:rPr>
          <w:rFonts w:ascii="Times New Roman" w:eastAsia="Calibri" w:hAnsi="Times New Roman" w:cs="Times New Roman"/>
          <w:sz w:val="20"/>
          <w:szCs w:val="20"/>
        </w:rPr>
        <w:t>апротинин</w:t>
      </w:r>
      <w:proofErr w:type="spellEnd"/>
      <w:r w:rsidRPr="001F0B08">
        <w:rPr>
          <w:rFonts w:ascii="Times New Roman" w:eastAsia="Calibri" w:hAnsi="Times New Roman" w:cs="Times New Roman"/>
          <w:sz w:val="20"/>
          <w:szCs w:val="20"/>
        </w:rPr>
        <w:t xml:space="preserve"> вводился за 15 дней - 6 месяцев до начала проводимого лечения.</w:t>
      </w:r>
    </w:p>
    <w:p w:rsidR="00325870" w:rsidRPr="001F0B08" w:rsidRDefault="00325870" w:rsidP="0032587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lang w:eastAsia="ru-RU"/>
        </w:rPr>
      </w:pPr>
      <w:r w:rsidRPr="001F0B08"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Передозировка</w:t>
      </w:r>
    </w:p>
    <w:p w:rsidR="00325870" w:rsidRPr="001F0B08" w:rsidRDefault="00325870" w:rsidP="0032587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62626" w:themeColor="text1" w:themeTint="D9"/>
          <w:sz w:val="20"/>
          <w:szCs w:val="20"/>
          <w:lang w:eastAsia="ru-RU"/>
        </w:rPr>
      </w:pPr>
      <w:r w:rsidRPr="001F0B08">
        <w:rPr>
          <w:rFonts w:ascii="Times New Roman" w:eastAsia="Times New Roman" w:hAnsi="Times New Roman" w:cs="Times New Roman"/>
          <w:color w:val="262626" w:themeColor="text1" w:themeTint="D9"/>
          <w:sz w:val="20"/>
          <w:szCs w:val="20"/>
          <w:lang w:eastAsia="ru-RU"/>
        </w:rPr>
        <w:t>Передозировка данным препаратом не фиксировалась. Специфического антидота не существует.</w:t>
      </w:r>
    </w:p>
    <w:p w:rsidR="00325870" w:rsidRPr="001F0B08" w:rsidRDefault="00325870" w:rsidP="00325870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lang w:eastAsia="ru-RU"/>
        </w:rPr>
      </w:pPr>
      <w:r w:rsidRPr="001F0B08"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bdr w:val="none" w:sz="0" w:space="0" w:color="auto" w:frame="1"/>
          <w:lang w:eastAsia="ru-RU"/>
        </w:rPr>
        <w:t>Побочные эффекты</w:t>
      </w:r>
    </w:p>
    <w:p w:rsidR="00325870" w:rsidRPr="001F0B08" w:rsidRDefault="00325870" w:rsidP="0032587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62626" w:themeColor="text1" w:themeTint="D9"/>
          <w:sz w:val="20"/>
          <w:szCs w:val="20"/>
          <w:lang w:eastAsia="ru-RU"/>
        </w:rPr>
      </w:pPr>
      <w:r w:rsidRPr="001F0B08">
        <w:rPr>
          <w:rFonts w:ascii="Times New Roman" w:eastAsia="Times New Roman" w:hAnsi="Times New Roman" w:cs="Times New Roman"/>
          <w:color w:val="262626" w:themeColor="text1" w:themeTint="D9"/>
          <w:sz w:val="20"/>
          <w:szCs w:val="20"/>
          <w:lang w:eastAsia="ru-RU"/>
        </w:rPr>
        <w:lastRenderedPageBreak/>
        <w:t xml:space="preserve">Возможно развитие аллергии, вплоть до анафилаксии. Рост вероятности возникновения аллергии возрастает пропорционально количеству введений препарата. Может также возникнуть тахикардия, увеличиться потоотделение, проявиться слабость, может возникнуть одышка, </w:t>
      </w:r>
      <w:proofErr w:type="spellStart"/>
      <w:r w:rsidRPr="001F0B08">
        <w:rPr>
          <w:rFonts w:ascii="Times New Roman" w:eastAsia="Times New Roman" w:hAnsi="Times New Roman" w:cs="Times New Roman"/>
          <w:color w:val="262626" w:themeColor="text1" w:themeTint="D9"/>
          <w:sz w:val="20"/>
          <w:szCs w:val="20"/>
          <w:lang w:eastAsia="ru-RU"/>
        </w:rPr>
        <w:t>синюшность</w:t>
      </w:r>
      <w:proofErr w:type="spellEnd"/>
      <w:r w:rsidRPr="001F0B08">
        <w:rPr>
          <w:rFonts w:ascii="Times New Roman" w:eastAsia="Times New Roman" w:hAnsi="Times New Roman" w:cs="Times New Roman"/>
          <w:color w:val="262626" w:themeColor="text1" w:themeTint="D9"/>
          <w:sz w:val="20"/>
          <w:szCs w:val="20"/>
          <w:lang w:eastAsia="ru-RU"/>
        </w:rPr>
        <w:t xml:space="preserve"> кожных покровов. У астматиков возможно возникновение </w:t>
      </w:r>
      <w:proofErr w:type="spellStart"/>
      <w:r w:rsidRPr="001F0B08">
        <w:rPr>
          <w:rFonts w:ascii="Times New Roman" w:eastAsia="Times New Roman" w:hAnsi="Times New Roman" w:cs="Times New Roman"/>
          <w:color w:val="262626" w:themeColor="text1" w:themeTint="D9"/>
          <w:sz w:val="20"/>
          <w:szCs w:val="20"/>
          <w:lang w:eastAsia="ru-RU"/>
        </w:rPr>
        <w:t>бронхоспазма</w:t>
      </w:r>
      <w:proofErr w:type="spellEnd"/>
      <w:r w:rsidRPr="001F0B08">
        <w:rPr>
          <w:rFonts w:ascii="Times New Roman" w:eastAsia="Times New Roman" w:hAnsi="Times New Roman" w:cs="Times New Roman"/>
          <w:color w:val="262626" w:themeColor="text1" w:themeTint="D9"/>
          <w:sz w:val="20"/>
          <w:szCs w:val="20"/>
          <w:lang w:eastAsia="ru-RU"/>
        </w:rPr>
        <w:t xml:space="preserve">, также имелись случаи возникновения желтухи, изменений показателей крови – появление гипергликемии, </w:t>
      </w:r>
      <w:proofErr w:type="spellStart"/>
      <w:r w:rsidRPr="001F0B08">
        <w:rPr>
          <w:rFonts w:ascii="Times New Roman" w:eastAsia="Times New Roman" w:hAnsi="Times New Roman" w:cs="Times New Roman"/>
          <w:color w:val="262626" w:themeColor="text1" w:themeTint="D9"/>
          <w:sz w:val="20"/>
          <w:szCs w:val="20"/>
          <w:lang w:eastAsia="ru-RU"/>
        </w:rPr>
        <w:t>гипокалиемии</w:t>
      </w:r>
      <w:proofErr w:type="spellEnd"/>
      <w:r w:rsidRPr="001F0B08">
        <w:rPr>
          <w:rFonts w:ascii="Times New Roman" w:eastAsia="Times New Roman" w:hAnsi="Times New Roman" w:cs="Times New Roman"/>
          <w:color w:val="262626" w:themeColor="text1" w:themeTint="D9"/>
          <w:sz w:val="20"/>
          <w:szCs w:val="20"/>
          <w:lang w:eastAsia="ru-RU"/>
        </w:rPr>
        <w:t xml:space="preserve">, ацидоза, </w:t>
      </w:r>
      <w:proofErr w:type="spellStart"/>
      <w:r w:rsidRPr="001F0B08">
        <w:rPr>
          <w:rFonts w:ascii="Times New Roman" w:eastAsia="Times New Roman" w:hAnsi="Times New Roman" w:cs="Times New Roman"/>
          <w:color w:val="262626" w:themeColor="text1" w:themeTint="D9"/>
          <w:sz w:val="20"/>
          <w:szCs w:val="20"/>
          <w:lang w:eastAsia="ru-RU"/>
        </w:rPr>
        <w:t>гиперволемии</w:t>
      </w:r>
      <w:proofErr w:type="spellEnd"/>
      <w:r w:rsidRPr="001F0B08">
        <w:rPr>
          <w:rFonts w:ascii="Times New Roman" w:eastAsia="Times New Roman" w:hAnsi="Times New Roman" w:cs="Times New Roman"/>
          <w:color w:val="262626" w:themeColor="text1" w:themeTint="D9"/>
          <w:sz w:val="20"/>
          <w:szCs w:val="20"/>
          <w:lang w:eastAsia="ru-RU"/>
        </w:rPr>
        <w:t>.</w:t>
      </w:r>
    </w:p>
    <w:p w:rsidR="00566D02" w:rsidRDefault="00566D02" w:rsidP="0032587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62626" w:themeColor="text1" w:themeTint="D9"/>
          <w:sz w:val="20"/>
          <w:szCs w:val="20"/>
          <w:lang w:eastAsia="ru-RU"/>
        </w:rPr>
      </w:pPr>
    </w:p>
    <w:p w:rsidR="00075774" w:rsidRPr="001F0B08" w:rsidRDefault="00075774" w:rsidP="0032587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62626" w:themeColor="text1" w:themeTint="D9"/>
          <w:sz w:val="20"/>
          <w:szCs w:val="20"/>
          <w:lang w:eastAsia="ru-RU"/>
        </w:rPr>
      </w:pPr>
      <w:proofErr w:type="gramStart"/>
      <w:r w:rsidRPr="001F0B08">
        <w:rPr>
          <w:rFonts w:ascii="Times New Roman" w:eastAsia="Times New Roman" w:hAnsi="Times New Roman" w:cs="Times New Roman"/>
          <w:b/>
          <w:color w:val="262626" w:themeColor="text1" w:themeTint="D9"/>
          <w:sz w:val="20"/>
          <w:szCs w:val="20"/>
          <w:lang w:eastAsia="ru-RU"/>
        </w:rPr>
        <w:t>Форма выпуска:</w:t>
      </w:r>
      <w:r w:rsidRPr="001F0B08">
        <w:rPr>
          <w:rFonts w:ascii="Times New Roman" w:eastAsia="Times New Roman" w:hAnsi="Times New Roman" w:cs="Times New Roman"/>
          <w:color w:val="262626" w:themeColor="text1" w:themeTint="D9"/>
          <w:sz w:val="20"/>
          <w:szCs w:val="20"/>
          <w:lang w:eastAsia="ru-RU"/>
        </w:rPr>
        <w:t xml:space="preserve"> </w:t>
      </w:r>
      <w:proofErr w:type="spellStart"/>
      <w:r w:rsidRPr="001F0B08">
        <w:rPr>
          <w:rFonts w:ascii="Times New Roman" w:eastAsia="Times New Roman" w:hAnsi="Times New Roman" w:cs="Times New Roman"/>
          <w:color w:val="262626" w:themeColor="text1" w:themeTint="D9"/>
          <w:sz w:val="20"/>
          <w:szCs w:val="20"/>
          <w:lang w:eastAsia="ru-RU"/>
        </w:rPr>
        <w:t>лиофилизированный</w:t>
      </w:r>
      <w:proofErr w:type="spellEnd"/>
      <w:r w:rsidRPr="001F0B08">
        <w:rPr>
          <w:rFonts w:ascii="Times New Roman" w:eastAsia="Times New Roman" w:hAnsi="Times New Roman" w:cs="Times New Roman"/>
          <w:color w:val="262626" w:themeColor="text1" w:themeTint="D9"/>
          <w:sz w:val="20"/>
          <w:szCs w:val="20"/>
          <w:lang w:eastAsia="ru-RU"/>
        </w:rPr>
        <w:t xml:space="preserve"> порошок для приготовления раствора для в/в инъекций во флаконах  № 5, растворитель в ампулах по 2 мл, № 5.</w:t>
      </w:r>
      <w:proofErr w:type="gramEnd"/>
    </w:p>
    <w:p w:rsidR="00D32B67" w:rsidRDefault="00D32B67" w:rsidP="00325870">
      <w:pPr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lang w:eastAsia="ru-RU"/>
        </w:rPr>
      </w:pPr>
    </w:p>
    <w:p w:rsidR="00D32B67" w:rsidRDefault="00325870" w:rsidP="00325870">
      <w:pPr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lang w:eastAsia="ru-RU"/>
        </w:rPr>
      </w:pPr>
      <w:r w:rsidRPr="001F0B08"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lang w:eastAsia="ru-RU"/>
        </w:rPr>
        <w:t>Условия хранения</w:t>
      </w:r>
      <w:r w:rsidR="00075774" w:rsidRPr="001F0B08"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lang w:eastAsia="ru-RU"/>
        </w:rPr>
        <w:t>:</w:t>
      </w:r>
    </w:p>
    <w:p w:rsidR="00325870" w:rsidRPr="001F0B08" w:rsidRDefault="00325870" w:rsidP="00325870">
      <w:pPr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lang w:eastAsia="ru-RU"/>
        </w:rPr>
      </w:pPr>
      <w:proofErr w:type="gramStart"/>
      <w:r w:rsidRPr="001F0B08">
        <w:rPr>
          <w:rFonts w:ascii="Times New Roman" w:eastAsia="Times New Roman" w:hAnsi="Times New Roman" w:cs="Times New Roman"/>
          <w:color w:val="262626" w:themeColor="text1" w:themeTint="D9"/>
          <w:sz w:val="20"/>
          <w:szCs w:val="20"/>
          <w:lang w:eastAsia="ru-RU"/>
        </w:rPr>
        <w:t>Хранить при температуре не выше 25</w:t>
      </w:r>
      <w:r w:rsidR="00566D02">
        <w:rPr>
          <w:rFonts w:ascii="Times New Roman" w:eastAsia="Times New Roman" w:hAnsi="Times New Roman" w:cs="Times New Roman"/>
          <w:color w:val="262626" w:themeColor="text1" w:themeTint="D9"/>
          <w:sz w:val="20"/>
          <w:szCs w:val="20"/>
          <w:lang w:eastAsia="ru-RU"/>
        </w:rPr>
        <w:t xml:space="preserve"> </w:t>
      </w:r>
      <w:r w:rsidRPr="001F0B08">
        <w:rPr>
          <w:rFonts w:ascii="Times New Roman" w:eastAsia="Times New Roman" w:hAnsi="Times New Roman" w:cs="Times New Roman"/>
          <w:color w:val="262626" w:themeColor="text1" w:themeTint="D9"/>
          <w:sz w:val="20"/>
          <w:szCs w:val="20"/>
          <w:lang w:eastAsia="ru-RU"/>
        </w:rPr>
        <w:t>°С. </w:t>
      </w:r>
      <w:r w:rsidRPr="001F0B08">
        <w:rPr>
          <w:rFonts w:ascii="Times New Roman" w:eastAsia="Times New Roman" w:hAnsi="Times New Roman" w:cs="Times New Roman"/>
          <w:color w:val="262626" w:themeColor="text1" w:themeTint="D9"/>
          <w:sz w:val="20"/>
          <w:szCs w:val="20"/>
          <w:lang w:eastAsia="ru-RU"/>
        </w:rPr>
        <w:br/>
        <w:t>Хранить</w:t>
      </w:r>
      <w:proofErr w:type="gramEnd"/>
      <w:r w:rsidRPr="001F0B08">
        <w:rPr>
          <w:rFonts w:ascii="Times New Roman" w:eastAsia="Times New Roman" w:hAnsi="Times New Roman" w:cs="Times New Roman"/>
          <w:color w:val="262626" w:themeColor="text1" w:themeTint="D9"/>
          <w:sz w:val="20"/>
          <w:szCs w:val="20"/>
          <w:lang w:eastAsia="ru-RU"/>
        </w:rPr>
        <w:t xml:space="preserve"> в недоступном для детей месте.</w:t>
      </w:r>
    </w:p>
    <w:p w:rsidR="00325870" w:rsidRPr="001F0B08" w:rsidRDefault="00325870" w:rsidP="00325870">
      <w:pPr>
        <w:outlineLvl w:val="2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lang w:eastAsia="ru-RU"/>
        </w:rPr>
      </w:pPr>
      <w:r w:rsidRPr="001F0B08"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lang w:eastAsia="ru-RU"/>
        </w:rPr>
        <w:t>Срок годности</w:t>
      </w:r>
    </w:p>
    <w:p w:rsidR="00325870" w:rsidRPr="001F0B08" w:rsidRDefault="00325870" w:rsidP="00325870">
      <w:pPr>
        <w:rPr>
          <w:rFonts w:ascii="Times New Roman" w:eastAsia="Times New Roman" w:hAnsi="Times New Roman" w:cs="Times New Roman"/>
          <w:color w:val="262626" w:themeColor="text1" w:themeTint="D9"/>
          <w:sz w:val="20"/>
          <w:szCs w:val="20"/>
          <w:lang w:eastAsia="ru-RU"/>
        </w:rPr>
      </w:pPr>
      <w:r w:rsidRPr="001F0B08">
        <w:rPr>
          <w:rFonts w:ascii="Times New Roman" w:eastAsia="Times New Roman" w:hAnsi="Times New Roman" w:cs="Times New Roman"/>
          <w:color w:val="262626" w:themeColor="text1" w:themeTint="D9"/>
          <w:sz w:val="20"/>
          <w:szCs w:val="20"/>
          <w:lang w:eastAsia="ru-RU"/>
        </w:rPr>
        <w:t>Не использовать по истечении срока годности, указанного на упаковке.</w:t>
      </w:r>
    </w:p>
    <w:p w:rsidR="00325870" w:rsidRPr="001F0B08" w:rsidRDefault="00325870" w:rsidP="00325870">
      <w:pPr>
        <w:outlineLvl w:val="2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lang w:eastAsia="ru-RU"/>
        </w:rPr>
      </w:pPr>
      <w:r w:rsidRPr="001F0B08">
        <w:rPr>
          <w:rFonts w:ascii="Times New Roman" w:eastAsia="Times New Roman" w:hAnsi="Times New Roman" w:cs="Times New Roman"/>
          <w:b/>
          <w:bCs/>
          <w:color w:val="262626" w:themeColor="text1" w:themeTint="D9"/>
          <w:sz w:val="20"/>
          <w:szCs w:val="20"/>
          <w:lang w:eastAsia="ru-RU"/>
        </w:rPr>
        <w:t>Условия отпуска из аптек</w:t>
      </w:r>
    </w:p>
    <w:p w:rsidR="00325870" w:rsidRPr="001F0B08" w:rsidRDefault="00325870" w:rsidP="00325870">
      <w:pPr>
        <w:rPr>
          <w:rFonts w:ascii="Times New Roman" w:eastAsia="Times New Roman" w:hAnsi="Times New Roman" w:cs="Times New Roman"/>
          <w:color w:val="262626" w:themeColor="text1" w:themeTint="D9"/>
          <w:sz w:val="20"/>
          <w:szCs w:val="20"/>
          <w:lang w:eastAsia="ru-RU"/>
        </w:rPr>
      </w:pPr>
      <w:r w:rsidRPr="001F0B08">
        <w:rPr>
          <w:rFonts w:ascii="Times New Roman" w:eastAsia="Times New Roman" w:hAnsi="Times New Roman" w:cs="Times New Roman"/>
          <w:color w:val="262626" w:themeColor="text1" w:themeTint="D9"/>
          <w:sz w:val="20"/>
          <w:szCs w:val="20"/>
          <w:lang w:eastAsia="ru-RU"/>
        </w:rPr>
        <w:t>По рецепту врача.</w:t>
      </w:r>
    </w:p>
    <w:p w:rsidR="00325870" w:rsidRPr="001F0B08" w:rsidRDefault="00325870" w:rsidP="00325870">
      <w:pPr>
        <w:pStyle w:val="3"/>
        <w:spacing w:before="0" w:beforeAutospacing="0" w:after="0" w:afterAutospacing="0"/>
        <w:rPr>
          <w:color w:val="262626" w:themeColor="text1" w:themeTint="D9"/>
          <w:sz w:val="20"/>
          <w:szCs w:val="20"/>
        </w:rPr>
      </w:pPr>
    </w:p>
    <w:p w:rsidR="00325870" w:rsidRPr="001F0B08" w:rsidRDefault="00325870" w:rsidP="00325870">
      <w:pPr>
        <w:pStyle w:val="3"/>
        <w:spacing w:before="0" w:beforeAutospacing="0" w:after="0" w:afterAutospacing="0"/>
        <w:rPr>
          <w:color w:val="262626" w:themeColor="text1" w:themeTint="D9"/>
          <w:sz w:val="20"/>
          <w:szCs w:val="20"/>
        </w:rPr>
      </w:pPr>
      <w:r w:rsidRPr="001F0B08">
        <w:rPr>
          <w:color w:val="262626" w:themeColor="text1" w:themeTint="D9"/>
          <w:sz w:val="20"/>
          <w:szCs w:val="20"/>
        </w:rPr>
        <w:t>Произведено для:</w:t>
      </w:r>
    </w:p>
    <w:p w:rsidR="00325870" w:rsidRPr="001F0B08" w:rsidRDefault="00325870" w:rsidP="00325870">
      <w:pPr>
        <w:pStyle w:val="3"/>
        <w:spacing w:before="0" w:beforeAutospacing="0" w:after="0" w:afterAutospacing="0"/>
        <w:rPr>
          <w:color w:val="262626" w:themeColor="text1" w:themeTint="D9"/>
          <w:sz w:val="20"/>
          <w:szCs w:val="20"/>
        </w:rPr>
      </w:pPr>
      <w:r w:rsidRPr="001F0B08">
        <w:rPr>
          <w:color w:val="262626" w:themeColor="text1" w:themeTint="D9"/>
          <w:sz w:val="20"/>
          <w:szCs w:val="20"/>
        </w:rPr>
        <w:t>MAXX-PHARM LTD.</w:t>
      </w:r>
    </w:p>
    <w:p w:rsidR="00DD5289" w:rsidRPr="001F0B08" w:rsidRDefault="00325870" w:rsidP="007C61E7">
      <w:pPr>
        <w:pStyle w:val="3"/>
        <w:spacing w:before="0" w:beforeAutospacing="0" w:after="0" w:afterAutospacing="0"/>
        <w:rPr>
          <w:color w:val="262626" w:themeColor="text1" w:themeTint="D9"/>
          <w:sz w:val="20"/>
          <w:szCs w:val="20"/>
        </w:rPr>
      </w:pPr>
      <w:r w:rsidRPr="001F0B08">
        <w:rPr>
          <w:color w:val="262626" w:themeColor="text1" w:themeTint="D9"/>
          <w:sz w:val="20"/>
          <w:szCs w:val="20"/>
        </w:rPr>
        <w:t>Лондон, Великобритания</w:t>
      </w:r>
    </w:p>
    <w:p w:rsidR="001F0B08" w:rsidRPr="001F0B08" w:rsidRDefault="001F0B08" w:rsidP="003A4319">
      <w:pPr>
        <w:pStyle w:val="3"/>
        <w:spacing w:before="0" w:beforeAutospacing="0" w:after="0" w:afterAutospacing="0"/>
        <w:rPr>
          <w:sz w:val="20"/>
          <w:szCs w:val="20"/>
        </w:rPr>
      </w:pPr>
    </w:p>
    <w:p w:rsidR="003A4319" w:rsidRPr="001F0B08" w:rsidRDefault="003A4319" w:rsidP="007C61E7">
      <w:pPr>
        <w:pStyle w:val="3"/>
        <w:spacing w:before="0" w:beforeAutospacing="0" w:after="0" w:afterAutospacing="0"/>
        <w:rPr>
          <w:color w:val="262626" w:themeColor="text1" w:themeTint="D9"/>
          <w:sz w:val="20"/>
          <w:szCs w:val="20"/>
          <w:lang w:val="en-US"/>
        </w:rPr>
      </w:pPr>
      <w:bookmarkStart w:id="0" w:name="_GoBack"/>
      <w:bookmarkEnd w:id="0"/>
    </w:p>
    <w:sectPr w:rsidR="003A4319" w:rsidRPr="001F0B08" w:rsidSect="003F6A23">
      <w:headerReference w:type="even" r:id="rId8"/>
      <w:headerReference w:type="default" r:id="rId9"/>
      <w:headerReference w:type="first" r:id="rId10"/>
      <w:pgSz w:w="11906" w:h="16838"/>
      <w:pgMar w:top="426" w:right="566" w:bottom="1134" w:left="709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E54" w:rsidRDefault="000F5E54" w:rsidP="003A4319">
      <w:pPr>
        <w:spacing w:after="0" w:line="240" w:lineRule="auto"/>
      </w:pPr>
      <w:r>
        <w:separator/>
      </w:r>
    </w:p>
  </w:endnote>
  <w:endnote w:type="continuationSeparator" w:id="0">
    <w:p w:rsidR="000F5E54" w:rsidRDefault="000F5E54" w:rsidP="003A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E54" w:rsidRDefault="000F5E54" w:rsidP="003A4319">
      <w:pPr>
        <w:spacing w:after="0" w:line="240" w:lineRule="auto"/>
      </w:pPr>
      <w:r>
        <w:separator/>
      </w:r>
    </w:p>
  </w:footnote>
  <w:footnote w:type="continuationSeparator" w:id="0">
    <w:p w:rsidR="000F5E54" w:rsidRDefault="000F5E54" w:rsidP="003A4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319" w:rsidRDefault="000F5E54">
    <w:pPr>
      <w:pStyle w:val="a6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7660485" o:spid="_x0000_s2053" type="#_x0000_t75" style="position:absolute;margin-left:0;margin-top:0;width:746.25pt;height:259.5pt;z-index:-251657216;mso-position-horizontal:center;mso-position-horizontal-relative:margin;mso-position-vertical:center;mso-position-vertical-relative:margin" o:allowincell="f">
          <v:imagedata r:id="rId1" o:title="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319" w:rsidRDefault="000F5E54">
    <w:pPr>
      <w:pStyle w:val="a6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7660486" o:spid="_x0000_s2054" type="#_x0000_t75" style="position:absolute;margin-left:0;margin-top:0;width:746.25pt;height:259.5pt;z-index:-251656192;mso-position-horizontal:center;mso-position-horizontal-relative:margin;mso-position-vertical:center;mso-position-vertical-relative:margin" o:allowincell="f">
          <v:imagedata r:id="rId1" o:title="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319" w:rsidRDefault="000F5E54">
    <w:pPr>
      <w:pStyle w:val="a6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7660484" o:spid="_x0000_s2052" type="#_x0000_t75" style="position:absolute;margin-left:0;margin-top:0;width:746.25pt;height:259.5pt;z-index:-251658240;mso-position-horizontal:center;mso-position-horizontal-relative:margin;mso-position-vertical:center;mso-position-vertical-relative:margin" o:allowincell="f">
          <v:imagedata r:id="rId1" o:title="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35E0E"/>
    <w:multiLevelType w:val="multilevel"/>
    <w:tmpl w:val="1B3C4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8D5"/>
    <w:rsid w:val="00075774"/>
    <w:rsid w:val="000F5E54"/>
    <w:rsid w:val="00103C6C"/>
    <w:rsid w:val="001F0B08"/>
    <w:rsid w:val="00257BE1"/>
    <w:rsid w:val="00325870"/>
    <w:rsid w:val="00347A72"/>
    <w:rsid w:val="003A4319"/>
    <w:rsid w:val="003D6115"/>
    <w:rsid w:val="003F6A23"/>
    <w:rsid w:val="004825C6"/>
    <w:rsid w:val="005363AB"/>
    <w:rsid w:val="00536E6C"/>
    <w:rsid w:val="00566D02"/>
    <w:rsid w:val="006E77FF"/>
    <w:rsid w:val="00792A89"/>
    <w:rsid w:val="007C61E7"/>
    <w:rsid w:val="007D18D5"/>
    <w:rsid w:val="00823968"/>
    <w:rsid w:val="00955EB1"/>
    <w:rsid w:val="00A50C0E"/>
    <w:rsid w:val="00B27B10"/>
    <w:rsid w:val="00B57B12"/>
    <w:rsid w:val="00CC2D4B"/>
    <w:rsid w:val="00D32B67"/>
    <w:rsid w:val="00DD5289"/>
    <w:rsid w:val="00E04463"/>
    <w:rsid w:val="00E73B45"/>
    <w:rsid w:val="00F21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258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258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58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258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rticle-related-navcurrent">
    <w:name w:val="article-related-nav__current"/>
    <w:basedOn w:val="a0"/>
    <w:rsid w:val="00325870"/>
  </w:style>
  <w:style w:type="character" w:styleId="a3">
    <w:name w:val="Hyperlink"/>
    <w:basedOn w:val="a0"/>
    <w:uiPriority w:val="99"/>
    <w:semiHidden/>
    <w:unhideWhenUsed/>
    <w:rsid w:val="00325870"/>
    <w:rPr>
      <w:color w:val="0000FF"/>
      <w:u w:val="single"/>
    </w:rPr>
  </w:style>
  <w:style w:type="character" w:styleId="a4">
    <w:name w:val="Strong"/>
    <w:basedOn w:val="a0"/>
    <w:uiPriority w:val="22"/>
    <w:qFormat/>
    <w:rsid w:val="00325870"/>
    <w:rPr>
      <w:b/>
      <w:bCs/>
    </w:rPr>
  </w:style>
  <w:style w:type="paragraph" w:styleId="a5">
    <w:name w:val="Normal (Web)"/>
    <w:basedOn w:val="a"/>
    <w:uiPriority w:val="99"/>
    <w:semiHidden/>
    <w:unhideWhenUsed/>
    <w:rsid w:val="00325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3A4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4319"/>
  </w:style>
  <w:style w:type="paragraph" w:styleId="a8">
    <w:name w:val="footer"/>
    <w:basedOn w:val="a"/>
    <w:link w:val="a9"/>
    <w:uiPriority w:val="99"/>
    <w:unhideWhenUsed/>
    <w:rsid w:val="003A4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43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258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258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58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258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rticle-related-navcurrent">
    <w:name w:val="article-related-nav__current"/>
    <w:basedOn w:val="a0"/>
    <w:rsid w:val="00325870"/>
  </w:style>
  <w:style w:type="character" w:styleId="a3">
    <w:name w:val="Hyperlink"/>
    <w:basedOn w:val="a0"/>
    <w:uiPriority w:val="99"/>
    <w:semiHidden/>
    <w:unhideWhenUsed/>
    <w:rsid w:val="00325870"/>
    <w:rPr>
      <w:color w:val="0000FF"/>
      <w:u w:val="single"/>
    </w:rPr>
  </w:style>
  <w:style w:type="character" w:styleId="a4">
    <w:name w:val="Strong"/>
    <w:basedOn w:val="a0"/>
    <w:uiPriority w:val="22"/>
    <w:qFormat/>
    <w:rsid w:val="00325870"/>
    <w:rPr>
      <w:b/>
      <w:bCs/>
    </w:rPr>
  </w:style>
  <w:style w:type="paragraph" w:styleId="a5">
    <w:name w:val="Normal (Web)"/>
    <w:basedOn w:val="a"/>
    <w:uiPriority w:val="99"/>
    <w:semiHidden/>
    <w:unhideWhenUsed/>
    <w:rsid w:val="00325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3A4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4319"/>
  </w:style>
  <w:style w:type="paragraph" w:styleId="a8">
    <w:name w:val="footer"/>
    <w:basedOn w:val="a"/>
    <w:link w:val="a9"/>
    <w:uiPriority w:val="99"/>
    <w:unhideWhenUsed/>
    <w:rsid w:val="003A4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43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833868">
          <w:marLeft w:val="0"/>
          <w:marRight w:val="0"/>
          <w:marTop w:val="0"/>
          <w:marBottom w:val="150"/>
          <w:divBdr>
            <w:top w:val="single" w:sz="6" w:space="11" w:color="DCDCDC"/>
            <w:left w:val="none" w:sz="0" w:space="0" w:color="auto"/>
            <w:bottom w:val="single" w:sz="6" w:space="11" w:color="DCDCDC"/>
            <w:right w:val="none" w:sz="0" w:space="0" w:color="auto"/>
          </w:divBdr>
          <w:divsChild>
            <w:div w:id="206998670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61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845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760904">
          <w:marLeft w:val="0"/>
          <w:marRight w:val="0"/>
          <w:marTop w:val="150"/>
          <w:marBottom w:val="0"/>
          <w:divBdr>
            <w:top w:val="single" w:sz="6" w:space="8" w:color="D0D0D0"/>
            <w:left w:val="none" w:sz="0" w:space="0" w:color="auto"/>
            <w:bottom w:val="single" w:sz="6" w:space="8" w:color="D0D0D0"/>
            <w:right w:val="none" w:sz="0" w:space="0" w:color="auto"/>
          </w:divBdr>
        </w:div>
        <w:div w:id="1096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1564</Words>
  <Characters>8918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7</cp:revision>
  <dcterms:created xsi:type="dcterms:W3CDTF">2024-01-08T10:22:00Z</dcterms:created>
  <dcterms:modified xsi:type="dcterms:W3CDTF">2024-01-22T03:19:00Z</dcterms:modified>
</cp:coreProperties>
</file>