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53158" w14:textId="2A87ADD7" w:rsidR="008D1408" w:rsidRPr="009004E8" w:rsidRDefault="008D1408" w:rsidP="00917039">
      <w:pPr>
        <w:pStyle w:val="20"/>
        <w:shd w:val="clear" w:color="auto" w:fill="auto"/>
        <w:spacing w:after="0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ФЕРРОЛАЙФ</w:t>
      </w:r>
      <w:r w:rsidR="00C24BDD" w:rsidRPr="009004E8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635E88E" w14:textId="23638BCB" w:rsidR="00917039" w:rsidRPr="009004E8" w:rsidRDefault="008D1408" w:rsidP="00917039">
      <w:pPr>
        <w:pStyle w:val="20"/>
        <w:shd w:val="clear" w:color="auto" w:fill="auto"/>
        <w:spacing w:after="0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Инструкция</w:t>
      </w:r>
    </w:p>
    <w:p w14:paraId="5D273A72" w14:textId="7706E7B2" w:rsidR="00E04CCC" w:rsidRPr="009004E8" w:rsidRDefault="00917039" w:rsidP="00917039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004E8">
        <w:rPr>
          <w:rFonts w:ascii="Times New Roman" w:hAnsi="Times New Roman" w:cs="Times New Roman"/>
          <w:b/>
          <w:sz w:val="18"/>
          <w:szCs w:val="18"/>
        </w:rPr>
        <w:t>по м</w:t>
      </w:r>
      <w:r w:rsidR="00A624C8">
        <w:rPr>
          <w:rFonts w:ascii="Times New Roman" w:hAnsi="Times New Roman" w:cs="Times New Roman"/>
          <w:b/>
          <w:sz w:val="18"/>
          <w:szCs w:val="18"/>
        </w:rPr>
        <w:t>едицинскому применению лекарственного средства</w:t>
      </w:r>
    </w:p>
    <w:p w14:paraId="45797303" w14:textId="33C775ED" w:rsidR="00917039" w:rsidRPr="009004E8" w:rsidRDefault="008D1408" w:rsidP="00917039">
      <w:pPr>
        <w:jc w:val="center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F3E0398" w14:textId="6991FABB" w:rsidR="00917039" w:rsidRPr="009004E8" w:rsidRDefault="00917039" w:rsidP="00917039">
      <w:pPr>
        <w:pStyle w:val="30"/>
        <w:shd w:val="clear" w:color="auto" w:fill="auto"/>
        <w:spacing w:before="0" w:after="0" w:line="240" w:lineRule="auto"/>
        <w:jc w:val="both"/>
        <w:rPr>
          <w:sz w:val="18"/>
          <w:szCs w:val="18"/>
        </w:rPr>
      </w:pPr>
      <w:r w:rsidRPr="009004E8">
        <w:rPr>
          <w:sz w:val="18"/>
          <w:szCs w:val="18"/>
        </w:rPr>
        <w:t xml:space="preserve">Торговое название препарата: </w:t>
      </w:r>
      <w:proofErr w:type="spellStart"/>
      <w:r w:rsidR="008D1408" w:rsidRPr="009004E8">
        <w:rPr>
          <w:b w:val="0"/>
          <w:sz w:val="18"/>
          <w:szCs w:val="18"/>
        </w:rPr>
        <w:t>Ферролайф</w:t>
      </w:r>
      <w:proofErr w:type="spellEnd"/>
      <w:r w:rsidR="008D1408" w:rsidRPr="009004E8">
        <w:rPr>
          <w:b w:val="0"/>
          <w:sz w:val="18"/>
          <w:szCs w:val="18"/>
        </w:rPr>
        <w:t>.</w:t>
      </w:r>
    </w:p>
    <w:p w14:paraId="0EE4BC94" w14:textId="35B9FADC" w:rsidR="00917039" w:rsidRPr="009004E8" w:rsidRDefault="00917039" w:rsidP="00917039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8"/>
          <w:szCs w:val="18"/>
        </w:rPr>
      </w:pPr>
      <w:r w:rsidRPr="009004E8">
        <w:rPr>
          <w:sz w:val="18"/>
          <w:szCs w:val="18"/>
        </w:rPr>
        <w:t xml:space="preserve">Международное непатентованное название: </w:t>
      </w:r>
      <w:r w:rsidR="00CB0131" w:rsidRPr="009004E8">
        <w:rPr>
          <w:b w:val="0"/>
          <w:sz w:val="18"/>
          <w:szCs w:val="18"/>
        </w:rPr>
        <w:t>Ж</w:t>
      </w:r>
      <w:r w:rsidR="008D1408" w:rsidRPr="009004E8">
        <w:rPr>
          <w:b w:val="0"/>
          <w:sz w:val="18"/>
          <w:szCs w:val="18"/>
        </w:rPr>
        <w:t xml:space="preserve">елеза </w:t>
      </w:r>
      <w:proofErr w:type="spellStart"/>
      <w:r w:rsidR="008D1408" w:rsidRPr="009004E8">
        <w:rPr>
          <w:b w:val="0"/>
          <w:sz w:val="18"/>
          <w:szCs w:val="18"/>
        </w:rPr>
        <w:t>полимальтозный</w:t>
      </w:r>
      <w:proofErr w:type="spellEnd"/>
      <w:r w:rsidR="008D1408" w:rsidRPr="009004E8">
        <w:rPr>
          <w:b w:val="0"/>
          <w:sz w:val="18"/>
          <w:szCs w:val="18"/>
        </w:rPr>
        <w:t xml:space="preserve"> комплекс.</w:t>
      </w:r>
      <w:r w:rsidRPr="009004E8">
        <w:rPr>
          <w:b w:val="0"/>
          <w:sz w:val="18"/>
          <w:szCs w:val="18"/>
        </w:rPr>
        <w:t xml:space="preserve"> </w:t>
      </w:r>
    </w:p>
    <w:p w14:paraId="7BCFEF8F" w14:textId="4CACBC37" w:rsidR="00917039" w:rsidRPr="009004E8" w:rsidRDefault="00917039" w:rsidP="00917039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8"/>
          <w:szCs w:val="18"/>
        </w:rPr>
      </w:pPr>
      <w:r w:rsidRPr="009004E8">
        <w:rPr>
          <w:sz w:val="18"/>
          <w:szCs w:val="18"/>
        </w:rPr>
        <w:t xml:space="preserve">Лекарственная форма: </w:t>
      </w:r>
      <w:r w:rsidR="00CB0131" w:rsidRPr="009004E8">
        <w:rPr>
          <w:b w:val="0"/>
          <w:sz w:val="18"/>
          <w:szCs w:val="18"/>
        </w:rPr>
        <w:t>Р</w:t>
      </w:r>
      <w:r w:rsidR="009A6D84" w:rsidRPr="009004E8">
        <w:rPr>
          <w:b w:val="0"/>
          <w:sz w:val="18"/>
          <w:szCs w:val="18"/>
        </w:rPr>
        <w:t>аствор для инъекций</w:t>
      </w:r>
      <w:r w:rsidR="008D1408" w:rsidRPr="009004E8">
        <w:rPr>
          <w:b w:val="0"/>
          <w:sz w:val="18"/>
          <w:szCs w:val="18"/>
        </w:rPr>
        <w:t>.</w:t>
      </w:r>
    </w:p>
    <w:p w14:paraId="6A1E4A87" w14:textId="0FDA2C22" w:rsidR="00917039" w:rsidRPr="009004E8" w:rsidRDefault="00917039" w:rsidP="008D1408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8"/>
          <w:szCs w:val="18"/>
        </w:rPr>
      </w:pPr>
      <w:bookmarkStart w:id="0" w:name="bookmark0"/>
      <w:r w:rsidRPr="009004E8">
        <w:rPr>
          <w:sz w:val="18"/>
          <w:szCs w:val="18"/>
        </w:rPr>
        <w:t>Состав</w:t>
      </w:r>
      <w:r w:rsidRPr="009004E8">
        <w:rPr>
          <w:b w:val="0"/>
          <w:i/>
          <w:sz w:val="18"/>
          <w:szCs w:val="18"/>
        </w:rPr>
        <w:t>:</w:t>
      </w:r>
      <w:bookmarkEnd w:id="0"/>
      <w:r w:rsidR="008D1408" w:rsidRPr="009004E8">
        <w:rPr>
          <w:b w:val="0"/>
          <w:i/>
          <w:sz w:val="18"/>
          <w:szCs w:val="18"/>
        </w:rPr>
        <w:t xml:space="preserve">  </w:t>
      </w:r>
      <w:r w:rsidR="009A6D84" w:rsidRPr="009004E8">
        <w:rPr>
          <w:b w:val="0"/>
          <w:i/>
          <w:sz w:val="18"/>
          <w:szCs w:val="18"/>
        </w:rPr>
        <w:t>Каждая ампула содержит</w:t>
      </w:r>
      <w:r w:rsidRPr="009004E8">
        <w:rPr>
          <w:b w:val="0"/>
          <w:i/>
          <w:sz w:val="18"/>
          <w:szCs w:val="18"/>
        </w:rPr>
        <w:t>:</w:t>
      </w:r>
    </w:p>
    <w:p w14:paraId="2F6F3CE0" w14:textId="77777777" w:rsidR="008D1408" w:rsidRPr="009004E8" w:rsidRDefault="008D1408" w:rsidP="00917039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r w:rsidRPr="009004E8">
        <w:rPr>
          <w:b w:val="0"/>
          <w:sz w:val="18"/>
          <w:szCs w:val="18"/>
        </w:rPr>
        <w:t>Гидроксид железа</w:t>
      </w:r>
      <w:r w:rsidR="00EB0F0C" w:rsidRPr="009004E8">
        <w:rPr>
          <w:b w:val="0"/>
          <w:sz w:val="18"/>
          <w:szCs w:val="18"/>
        </w:rPr>
        <w:t xml:space="preserve"> (III) </w:t>
      </w:r>
      <w:proofErr w:type="spellStart"/>
      <w:r w:rsidR="00917039" w:rsidRPr="009004E8">
        <w:rPr>
          <w:b w:val="0"/>
          <w:sz w:val="18"/>
          <w:szCs w:val="18"/>
        </w:rPr>
        <w:t>полимальтозный</w:t>
      </w:r>
      <w:proofErr w:type="spellEnd"/>
      <w:r w:rsidR="00917039" w:rsidRPr="009004E8">
        <w:rPr>
          <w:b w:val="0"/>
          <w:sz w:val="18"/>
          <w:szCs w:val="18"/>
        </w:rPr>
        <w:t xml:space="preserve"> комплекс</w:t>
      </w:r>
      <w:r w:rsidRPr="009004E8">
        <w:rPr>
          <w:b w:val="0"/>
          <w:sz w:val="18"/>
          <w:szCs w:val="18"/>
        </w:rPr>
        <w:t xml:space="preserve">   </w:t>
      </w:r>
    </w:p>
    <w:p w14:paraId="4604D1B6" w14:textId="0318F181" w:rsidR="00917039" w:rsidRPr="009004E8" w:rsidRDefault="00EB0F0C" w:rsidP="00917039">
      <w:pPr>
        <w:pStyle w:val="10"/>
        <w:keepNext/>
        <w:keepLines/>
        <w:spacing w:before="0" w:line="240" w:lineRule="auto"/>
        <w:rPr>
          <w:b w:val="0"/>
          <w:sz w:val="18"/>
          <w:szCs w:val="18"/>
        </w:rPr>
      </w:pPr>
      <w:proofErr w:type="spellStart"/>
      <w:r w:rsidRPr="009004E8">
        <w:rPr>
          <w:b w:val="0"/>
          <w:sz w:val="18"/>
          <w:szCs w:val="18"/>
        </w:rPr>
        <w:t>экв</w:t>
      </w:r>
      <w:proofErr w:type="spellEnd"/>
      <w:r w:rsidRPr="009004E8">
        <w:rPr>
          <w:b w:val="0"/>
          <w:sz w:val="18"/>
          <w:szCs w:val="18"/>
        </w:rPr>
        <w:t xml:space="preserve">, </w:t>
      </w:r>
      <w:r w:rsidR="00917039" w:rsidRPr="009004E8">
        <w:rPr>
          <w:b w:val="0"/>
          <w:sz w:val="18"/>
          <w:szCs w:val="18"/>
        </w:rPr>
        <w:t>элементарн</w:t>
      </w:r>
      <w:r w:rsidRPr="009004E8">
        <w:rPr>
          <w:b w:val="0"/>
          <w:sz w:val="18"/>
          <w:szCs w:val="18"/>
        </w:rPr>
        <w:t>ому</w:t>
      </w:r>
      <w:r w:rsidR="00917039" w:rsidRPr="009004E8">
        <w:rPr>
          <w:b w:val="0"/>
          <w:sz w:val="18"/>
          <w:szCs w:val="18"/>
        </w:rPr>
        <w:t xml:space="preserve"> желез</w:t>
      </w:r>
      <w:r w:rsidRPr="009004E8">
        <w:rPr>
          <w:b w:val="0"/>
          <w:sz w:val="18"/>
          <w:szCs w:val="18"/>
        </w:rPr>
        <w:t>у</w:t>
      </w:r>
      <w:r w:rsidR="009A6D84" w:rsidRPr="009004E8">
        <w:rPr>
          <w:b w:val="0"/>
          <w:sz w:val="18"/>
          <w:szCs w:val="18"/>
        </w:rPr>
        <w:t xml:space="preserve"> .......................</w:t>
      </w:r>
      <w:r w:rsidR="00CB0131" w:rsidRPr="009004E8">
        <w:rPr>
          <w:b w:val="0"/>
          <w:sz w:val="18"/>
          <w:szCs w:val="18"/>
        </w:rPr>
        <w:t>.</w:t>
      </w:r>
      <w:r w:rsidR="009A6D84" w:rsidRPr="009004E8">
        <w:rPr>
          <w:b w:val="0"/>
          <w:sz w:val="18"/>
          <w:szCs w:val="18"/>
        </w:rPr>
        <w:t xml:space="preserve"> 10</w:t>
      </w:r>
      <w:r w:rsidR="008D1408" w:rsidRPr="009004E8">
        <w:rPr>
          <w:b w:val="0"/>
          <w:sz w:val="18"/>
          <w:szCs w:val="18"/>
        </w:rPr>
        <w:t>0 мг;</w:t>
      </w:r>
    </w:p>
    <w:p w14:paraId="11DEC043" w14:textId="265C94E7" w:rsidR="00566E7F" w:rsidRPr="009004E8" w:rsidRDefault="00566E7F" w:rsidP="00566E7F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  <w:shd w:val="clear" w:color="auto" w:fill="FFFFFF"/>
        </w:rPr>
      </w:pPr>
      <w:r w:rsidRPr="009004E8">
        <w:rPr>
          <w:rFonts w:ascii="Times New Roman" w:hAnsi="Times New Roman" w:cs="Times New Roman"/>
          <w:sz w:val="18"/>
          <w:szCs w:val="18"/>
        </w:rPr>
        <w:t xml:space="preserve">Код </w:t>
      </w:r>
      <w:r w:rsidRPr="009004E8">
        <w:rPr>
          <w:rFonts w:ascii="Times New Roman" w:hAnsi="Times New Roman" w:cs="Times New Roman"/>
          <w:sz w:val="18"/>
          <w:szCs w:val="18"/>
          <w:lang w:val="en-US" w:bidi="en-US"/>
        </w:rPr>
        <w:t>ATX</w:t>
      </w:r>
      <w:r w:rsidRPr="009004E8">
        <w:rPr>
          <w:rFonts w:ascii="Times New Roman" w:hAnsi="Times New Roman" w:cs="Times New Roman"/>
          <w:sz w:val="18"/>
          <w:szCs w:val="18"/>
          <w:lang w:bidi="en-US"/>
        </w:rPr>
        <w:t>:</w:t>
      </w:r>
      <w:r w:rsidRPr="009004E8">
        <w:rPr>
          <w:rStyle w:val="21"/>
          <w:rFonts w:eastAsia="Calibri"/>
          <w:sz w:val="18"/>
          <w:szCs w:val="18"/>
        </w:rPr>
        <w:t xml:space="preserve"> </w:t>
      </w:r>
      <w:r w:rsidRPr="009004E8">
        <w:rPr>
          <w:rFonts w:ascii="Times New Roman" w:hAnsi="Times New Roman" w:cs="Times New Roman"/>
          <w:b w:val="0"/>
          <w:sz w:val="18"/>
          <w:szCs w:val="18"/>
          <w:shd w:val="clear" w:color="auto" w:fill="FFFFFF"/>
        </w:rPr>
        <w:t>B03AD04</w:t>
      </w:r>
      <w:r w:rsidR="008D1408" w:rsidRPr="009004E8">
        <w:rPr>
          <w:rFonts w:ascii="Times New Roman" w:hAnsi="Times New Roman" w:cs="Times New Roman"/>
          <w:b w:val="0"/>
          <w:sz w:val="18"/>
          <w:szCs w:val="18"/>
          <w:shd w:val="clear" w:color="auto" w:fill="FFFFFF"/>
        </w:rPr>
        <w:t>.</w:t>
      </w:r>
    </w:p>
    <w:p w14:paraId="298282B0" w14:textId="6359EC4D" w:rsidR="00917039" w:rsidRPr="009004E8" w:rsidRDefault="009A6D84" w:rsidP="00917039">
      <w:pPr>
        <w:pStyle w:val="20"/>
        <w:shd w:val="clear" w:color="auto" w:fill="auto"/>
        <w:spacing w:after="0" w:line="240" w:lineRule="auto"/>
        <w:ind w:right="340"/>
        <w:jc w:val="both"/>
        <w:rPr>
          <w:rStyle w:val="22"/>
          <w:rFonts w:eastAsia="Calibri"/>
          <w:sz w:val="18"/>
          <w:szCs w:val="18"/>
        </w:rPr>
      </w:pPr>
      <w:proofErr w:type="spellStart"/>
      <w:proofErr w:type="gramStart"/>
      <w:r w:rsidRPr="009004E8">
        <w:rPr>
          <w:rStyle w:val="22"/>
          <w:rFonts w:eastAsia="Calibri"/>
          <w:b/>
          <w:sz w:val="18"/>
          <w:szCs w:val="18"/>
        </w:rPr>
        <w:t>Фармако</w:t>
      </w:r>
      <w:proofErr w:type="spellEnd"/>
      <w:r w:rsidRPr="009004E8">
        <w:rPr>
          <w:rStyle w:val="22"/>
          <w:rFonts w:eastAsia="Calibri"/>
          <w:b/>
          <w:sz w:val="18"/>
          <w:szCs w:val="18"/>
        </w:rPr>
        <w:t>-терапевтическая</w:t>
      </w:r>
      <w:proofErr w:type="gramEnd"/>
      <w:r w:rsidRPr="009004E8">
        <w:rPr>
          <w:rStyle w:val="22"/>
          <w:rFonts w:eastAsia="Calibri"/>
          <w:b/>
          <w:sz w:val="18"/>
          <w:szCs w:val="18"/>
        </w:rPr>
        <w:t xml:space="preserve"> группа: </w:t>
      </w:r>
      <w:r w:rsidRPr="009004E8">
        <w:rPr>
          <w:rStyle w:val="22"/>
          <w:rFonts w:eastAsia="Calibri"/>
          <w:sz w:val="18"/>
          <w:szCs w:val="18"/>
        </w:rPr>
        <w:t xml:space="preserve">Антианемические препараты. Стимуляторы </w:t>
      </w:r>
      <w:proofErr w:type="spellStart"/>
      <w:r w:rsidRPr="009004E8">
        <w:rPr>
          <w:rStyle w:val="22"/>
          <w:rFonts w:eastAsia="Calibri"/>
          <w:sz w:val="18"/>
          <w:szCs w:val="18"/>
        </w:rPr>
        <w:t>гемопоэза</w:t>
      </w:r>
      <w:proofErr w:type="spellEnd"/>
      <w:r w:rsidRPr="009004E8">
        <w:rPr>
          <w:rStyle w:val="22"/>
          <w:rFonts w:eastAsia="Calibri"/>
          <w:sz w:val="18"/>
          <w:szCs w:val="18"/>
        </w:rPr>
        <w:t>. Препараты железа. Препараты трехвалентного ж</w:t>
      </w:r>
      <w:r w:rsidR="00CB0131" w:rsidRPr="009004E8">
        <w:rPr>
          <w:rStyle w:val="22"/>
          <w:rFonts w:eastAsia="Calibri"/>
          <w:sz w:val="18"/>
          <w:szCs w:val="18"/>
        </w:rPr>
        <w:t xml:space="preserve">елеза для </w:t>
      </w:r>
      <w:r w:rsidRPr="009004E8">
        <w:rPr>
          <w:rStyle w:val="22"/>
          <w:rFonts w:eastAsia="Calibri"/>
          <w:sz w:val="18"/>
          <w:szCs w:val="18"/>
        </w:rPr>
        <w:t>парентерального введения.</w:t>
      </w:r>
      <w:r w:rsidR="00CB0131" w:rsidRPr="009004E8">
        <w:rPr>
          <w:rStyle w:val="22"/>
          <w:rFonts w:eastAsia="Calibri"/>
          <w:sz w:val="18"/>
          <w:szCs w:val="18"/>
        </w:rPr>
        <w:t xml:space="preserve"> </w:t>
      </w:r>
    </w:p>
    <w:p w14:paraId="37FC85DE" w14:textId="0BCB2762" w:rsidR="00982F6A" w:rsidRPr="009004E8" w:rsidRDefault="008D1408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bookmark1"/>
      <w:r w:rsidRPr="009004E8">
        <w:rPr>
          <w:rFonts w:ascii="Times New Roman" w:hAnsi="Times New Roman" w:cs="Times New Roman"/>
          <w:sz w:val="18"/>
          <w:szCs w:val="18"/>
        </w:rPr>
        <w:t>Фармакологические свойства</w:t>
      </w:r>
      <w:r w:rsidR="00CB0131" w:rsidRPr="009004E8">
        <w:rPr>
          <w:rFonts w:ascii="Times New Roman" w:hAnsi="Times New Roman" w:cs="Times New Roman"/>
          <w:sz w:val="18"/>
          <w:szCs w:val="18"/>
        </w:rPr>
        <w:t>:</w:t>
      </w:r>
    </w:p>
    <w:p w14:paraId="43C64EC8" w14:textId="247409B3" w:rsidR="008D1408" w:rsidRPr="009004E8" w:rsidRDefault="008D1408" w:rsidP="00982F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Фармакодинамика</w:t>
      </w:r>
      <w:proofErr w:type="spellEnd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:</w:t>
      </w:r>
    </w:p>
    <w:p w14:paraId="02AFBE09" w14:textId="55FB3FEF" w:rsidR="00CB0131" w:rsidRPr="00CB0131" w:rsidRDefault="00CB0131" w:rsidP="00CB0131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9004E8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62977503" wp14:editId="4626414E">
            <wp:simplePos x="0" y="0"/>
            <wp:positionH relativeFrom="page">
              <wp:posOffset>911859</wp:posOffset>
            </wp:positionH>
            <wp:positionV relativeFrom="paragraph">
              <wp:posOffset>734060</wp:posOffset>
            </wp:positionV>
            <wp:extent cx="5863590" cy="36645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863590" cy="3664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0131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Железа гидроксид сахарозный комплекс: </w:t>
      </w:r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Препарат железа, регулирует метаболические процессы. Представляет собой коллоидный раствор, который состоит из </w:t>
      </w:r>
      <w:proofErr w:type="gram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сфероидальных</w:t>
      </w:r>
      <w:proofErr w:type="gram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 железо-углеводных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наночастиц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. В ядре (центре) каждой частицы находится железа [III] гидроксид. Ядро окружено оболочкой из сахарозы, которая стабилизирует железа [III] гидроксид, медленно высвобождает биоактивное железо и сохраняет полученные частицы в коллоидном растворе. В результате образуется комплекс, молекулярная масса которого составляет приблизительно 43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кДа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, вследствие этого его выведение почками в неизмененном виде невозможно.</w:t>
      </w:r>
    </w:p>
    <w:p w14:paraId="2B1A2148" w14:textId="6AFF0F4F" w:rsidR="00CB0131" w:rsidRPr="00CB0131" w:rsidRDefault="00CB0131" w:rsidP="00CB0131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Многоядерные центры ЖПК имеют структуру, подобную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ферритину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, физиологическому белку-депо железа. Железо из ЖПК всасывается в кишечнике путем активного транспорта.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Биодоступность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полимальтозы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 железа эквивалентна соли двухвалентного железа. Это приводит к быстрому использованию железа, необходимого для синтеза гемоглобина, и пополнения депо железа. Этот комплекс предназначен для создания управляемого источника утилизируемого железа для белков, отвечающих за транспорт и  депонирование железа в  организме (соответственно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трансферрина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 xml:space="preserve"> и </w:t>
      </w:r>
      <w:proofErr w:type="spellStart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ферритина</w:t>
      </w:r>
      <w:proofErr w:type="spellEnd"/>
      <w:r w:rsidRPr="00CB0131">
        <w:rPr>
          <w:rFonts w:ascii="Times New Roman" w:eastAsia="Calibri" w:hAnsi="Times New Roman" w:cs="Times New Roman"/>
          <w:bCs/>
          <w:sz w:val="18"/>
          <w:szCs w:val="18"/>
        </w:rPr>
        <w:t>).</w:t>
      </w:r>
    </w:p>
    <w:p w14:paraId="0116C48C" w14:textId="7A3F01A1" w:rsidR="009A6D84" w:rsidRPr="009004E8" w:rsidRDefault="009A6D84" w:rsidP="009A6D84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После в/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введения железа (III) гидроксид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полимальтозат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поступает в кровоток. Из плазмы макромолекулярный комплекс попадает в ретикуло-эндотелиальную систему, где расщепляется на гидроксид железа 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полимальтозу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. Медленное высвобождение железа является причиной его хорошей переносимости. В печени включается в состав гемоглобина, миоглобина и железосодержащих ферментов, а также депонируется в организме в виде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ферритина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. В крови железо связывается с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трансферрином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, в костном мозге включается в гемоглобин и используется в процессе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эритропоэза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. Хорошо известно, что включение железа в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протопорфирин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зависит от степени тяжести железодефицитной анемии.   Трехвалентное железо участвует в образовании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гема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, что приводит к повышению уровня гемоглобина. После 3 месяцев лечения как ЖПК, так и соли двухвалентного железа дают одинаковые результаты. Показатель гемоглобина повышается быстрее и с большей достоверностью, чем после терапии лекарственными средствами, содержащими железо [II]. Введение 100 мг железа [III] приводит к увеличению гемоглобина на 2-3%; при беременности - на 2%. Токсичность препарата очень низкая. Терапевтический индекс равен 30 (200/7).</w:t>
      </w:r>
    </w:p>
    <w:p w14:paraId="50EF7D7F" w14:textId="77777777" w:rsidR="00CB0131" w:rsidRPr="009004E8" w:rsidRDefault="005F2E3F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="008D1408"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 содержит комплекс </w:t>
      </w:r>
      <w:proofErr w:type="spellStart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>полимальтозы</w:t>
      </w:r>
      <w:proofErr w:type="spellEnd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 железа, который является </w:t>
      </w:r>
      <w:proofErr w:type="spellStart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>неионным</w:t>
      </w:r>
      <w:proofErr w:type="spellEnd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 источником железа. Благодаря быстрому всасыванию, высокому уровню использования железа, эффективному производству гемоглобина с помо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щью МПК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 становится идеальным препаратом для лечения железодефицитных анемий. </w:t>
      </w:r>
      <w:proofErr w:type="spellStart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>Биодоступность</w:t>
      </w:r>
      <w:proofErr w:type="spellEnd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proofErr w:type="spellStart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>полимальтозы</w:t>
      </w:r>
      <w:proofErr w:type="spellEnd"/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 железа эквивалентна соли двухвалентного железа. Это приводит к быстрому использованию железа, вводимого в синтезе гемогл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обина, и пополнению депо железа</w:t>
      </w:r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 xml:space="preserve">. Более медленное всасывание увеличивает профиль безопасности МПК. 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982F6A" w:rsidRPr="009004E8">
        <w:rPr>
          <w:rFonts w:ascii="Times New Roman" w:hAnsi="Times New Roman" w:cs="Times New Roman"/>
          <w:b w:val="0"/>
          <w:sz w:val="18"/>
          <w:szCs w:val="18"/>
        </w:rPr>
        <w:t>После 3 месяцев лечения как МПК, так и соли двухвалентного железа дают одинаковые результаты.</w:t>
      </w:r>
      <w:bookmarkStart w:id="2" w:name="bookmark2"/>
      <w:bookmarkEnd w:id="1"/>
    </w:p>
    <w:p w14:paraId="51424D87" w14:textId="77777777" w:rsidR="00CB0131" w:rsidRPr="009004E8" w:rsidRDefault="0091703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i/>
          <w:color w:val="202124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Показания для применения</w:t>
      </w:r>
      <w:bookmarkEnd w:id="2"/>
      <w:r w:rsidRPr="009004E8">
        <w:rPr>
          <w:rFonts w:ascii="Times New Roman" w:hAnsi="Times New Roman" w:cs="Times New Roman"/>
          <w:b w:val="0"/>
          <w:sz w:val="18"/>
          <w:szCs w:val="18"/>
        </w:rPr>
        <w:t>:</w:t>
      </w:r>
      <w:r w:rsidR="00A009F6"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A009F6" w:rsidRPr="009004E8">
        <w:rPr>
          <w:rFonts w:ascii="Times New Roman" w:hAnsi="Times New Roman" w:cs="Times New Roman"/>
          <w:b w:val="0"/>
          <w:i/>
          <w:color w:val="202124"/>
          <w:sz w:val="18"/>
          <w:szCs w:val="18"/>
        </w:rPr>
        <w:t>применяется для лечения железодефицитных состояний в следующих случаях:</w:t>
      </w:r>
    </w:p>
    <w:p w14:paraId="3F6C98F6" w14:textId="2CEC0CB6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лечение дефицита железа без анемии и железодефицитной анемии (ЖДА)  различного генеза и латентного дефицита железа;</w:t>
      </w:r>
    </w:p>
    <w:p w14:paraId="32A07205" w14:textId="76B07ECD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профилактика дефицита железа;</w:t>
      </w:r>
    </w:p>
    <w:p w14:paraId="0185AC39" w14:textId="6BFD72C2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повышенная потребность в железе (беременность, период лактации, донорство, период интенсивного роста, вегетарианство, пожилой возраст);</w:t>
      </w:r>
    </w:p>
    <w:p w14:paraId="303447D3" w14:textId="75287914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при клинической потребности в  быстром восполнении запасов  железа в организме;</w:t>
      </w:r>
    </w:p>
    <w:p w14:paraId="5C37E8D2" w14:textId="2CB9F72B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непереносимость пероральных препаратов железа;</w:t>
      </w:r>
    </w:p>
    <w:p w14:paraId="31B32F28" w14:textId="754BECAF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пациентам, которые не согласны длительно и регулярно принимать пероральные препараты железа;</w:t>
      </w:r>
    </w:p>
    <w:p w14:paraId="61AA664A" w14:textId="7CC3DB06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наличие заболеваний ЖКТ, которые делают невозможным пероральный прием препарата и могут спровоцировать обострение заболевания;</w:t>
      </w:r>
    </w:p>
    <w:p w14:paraId="65FDB2E5" w14:textId="00B67323" w:rsidR="00CB0131" w:rsidRPr="009004E8" w:rsidRDefault="00BE7D99" w:rsidP="00CB013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при возникновении ЖДА после оперативных вмешательств (постгеморрагическая анемия);</w:t>
      </w:r>
    </w:p>
    <w:p w14:paraId="46B15359" w14:textId="77777777" w:rsidR="00BE7D99" w:rsidRPr="009004E8" w:rsidRDefault="00BE7D99" w:rsidP="00BE7D99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CB0131" w:rsidRPr="009004E8">
        <w:rPr>
          <w:rFonts w:ascii="Times New Roman" w:hAnsi="Times New Roman" w:cs="Times New Roman"/>
          <w:b w:val="0"/>
          <w:sz w:val="18"/>
          <w:szCs w:val="18"/>
        </w:rPr>
        <w:t>у пациентов, которые не переносят пероральные препараты железа или не соблюдают режим лечения.</w:t>
      </w:r>
      <w:bookmarkStart w:id="3" w:name="bookmark3"/>
    </w:p>
    <w:p w14:paraId="2A787169" w14:textId="77777777" w:rsidR="00BE7D99" w:rsidRPr="009004E8" w:rsidRDefault="00917039" w:rsidP="00BE7D99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Способ применения и дозировка</w:t>
      </w:r>
      <w:bookmarkEnd w:id="3"/>
      <w:r w:rsidRPr="009004E8">
        <w:rPr>
          <w:rFonts w:ascii="Times New Roman" w:hAnsi="Times New Roman" w:cs="Times New Roman"/>
          <w:sz w:val="18"/>
          <w:szCs w:val="18"/>
        </w:rPr>
        <w:t>:</w:t>
      </w:r>
      <w:bookmarkStart w:id="4" w:name="bookmark4"/>
    </w:p>
    <w:p w14:paraId="69DAA403" w14:textId="34C0B592" w:rsidR="00AB7CCB" w:rsidRPr="009004E8" w:rsidRDefault="00AB7CCB" w:rsidP="00BE7D99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i/>
          <w:iCs/>
          <w:sz w:val="18"/>
          <w:szCs w:val="18"/>
        </w:rPr>
        <w:t>Капельное введение</w:t>
      </w:r>
      <w:r w:rsidR="00BE7D99" w:rsidRPr="009004E8">
        <w:rPr>
          <w:rFonts w:ascii="Times New Roman" w:hAnsi="Times New Roman" w:cs="Times New Roman"/>
          <w:b w:val="0"/>
          <w:i/>
          <w:iCs/>
          <w:sz w:val="18"/>
          <w:szCs w:val="18"/>
        </w:rPr>
        <w:t xml:space="preserve">: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раствор предпочтительно вводить в ходе капельной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инфузии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для того, чтобы уменьшить риск выраженного снижения АД и опасность попадания раствора в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околовенозное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пространство. Непосредственно перед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инфузией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препарат следует развести 0.9% раствором натрия хлорида в соотношении 1:20 [например, 1 мл (20 мг железа) в 20 мл 0.9% раствора натрия хлорида]. Полученный раствор следует вводить: 100 мг железа - не менее чем за 15 мин; 200 мг железа - в течение 30 м</w:t>
      </w:r>
      <w:r w:rsidR="00A95E56" w:rsidRPr="009004E8">
        <w:rPr>
          <w:rFonts w:ascii="Times New Roman" w:hAnsi="Times New Roman" w:cs="Times New Roman"/>
          <w:b w:val="0"/>
          <w:sz w:val="18"/>
          <w:szCs w:val="18"/>
        </w:rPr>
        <w:t>ин; 300 мг железа - в течение 1,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5</w:t>
      </w:r>
      <w:r w:rsidR="00A95E56" w:rsidRPr="009004E8">
        <w:rPr>
          <w:rFonts w:ascii="Times New Roman" w:hAnsi="Times New Roman" w:cs="Times New Roman"/>
          <w:b w:val="0"/>
          <w:sz w:val="18"/>
          <w:szCs w:val="18"/>
        </w:rPr>
        <w:t xml:space="preserve"> ч; 400 мг железа - в течение 2,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5</w:t>
      </w:r>
      <w:r w:rsidR="00A95E56" w:rsidRPr="009004E8">
        <w:rPr>
          <w:rFonts w:ascii="Times New Roman" w:hAnsi="Times New Roman" w:cs="Times New Roman"/>
          <w:b w:val="0"/>
          <w:sz w:val="18"/>
          <w:szCs w:val="18"/>
        </w:rPr>
        <w:t xml:space="preserve"> ч; 500 мг железа - в течение 3,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5 ч. Введение максимально переносимой разовой дозы, составляющей 7 мг железа/кг массы тела, следует произв</w:t>
      </w:r>
      <w:r w:rsidR="00A95E56" w:rsidRPr="009004E8">
        <w:rPr>
          <w:rFonts w:ascii="Times New Roman" w:hAnsi="Times New Roman" w:cs="Times New Roman"/>
          <w:b w:val="0"/>
          <w:sz w:val="18"/>
          <w:szCs w:val="18"/>
        </w:rPr>
        <w:t>одить в течение минимум 3,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5 ч, независимо от общей дозы препарата.</w:t>
      </w:r>
    </w:p>
    <w:p w14:paraId="5774BA2F" w14:textId="55D1EC3C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Перед первым капельным введением терапевтической дозы препарата необходимо ввести </w:t>
      </w: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тест-дозу: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1 мл препарата  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lastRenderedPageBreak/>
        <w:t>(20 мг желе</w:t>
      </w:r>
      <w:r w:rsidR="00EC0C4D" w:rsidRPr="009004E8">
        <w:rPr>
          <w:rFonts w:ascii="Times New Roman" w:hAnsi="Times New Roman" w:cs="Times New Roman"/>
          <w:b w:val="0"/>
          <w:sz w:val="18"/>
          <w:szCs w:val="18"/>
        </w:rPr>
        <w:t xml:space="preserve">за) взрослым 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 течение 15 мин. При отсутствии нежелательных явлений, оставшуюся часть раствора следует вводить с рекомендованной скоростью.</w:t>
      </w:r>
    </w:p>
    <w:p w14:paraId="05C36375" w14:textId="113F76F0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 xml:space="preserve">Струйное введение: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раствор также можно вводить в виде неразведенного раствора 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>/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медленно, со скоростью 1 мл (20 мг железа) в мин</w:t>
      </w:r>
      <w:r w:rsidR="00D6423B">
        <w:rPr>
          <w:rFonts w:ascii="Times New Roman" w:hAnsi="Times New Roman" w:cs="Times New Roman"/>
          <w:b w:val="0"/>
          <w:sz w:val="18"/>
          <w:szCs w:val="18"/>
        </w:rPr>
        <w:t>уту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(например, 5 мл препарата  (100 мг железа) вводят в течение 5 мин). Максимальный объем препарата  составляет 10 мл (200 мг железа) за одну инъекцию. После инъекции пациенту рекомендуется на некоторое время зафиксировать руку в вытянутом положении.</w:t>
      </w:r>
    </w:p>
    <w:p w14:paraId="33CB27E4" w14:textId="23AAA1F4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Перед первым струйным введением терапевтической дозы препарата следует ввести </w:t>
      </w: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тест-дозу: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1 мл препарата (20 мг железа) взрослым в течение 1-2 мин. При отсутствии нежелательных явлений в течение последующих 15 мин наблюдения оставшуюся часть раствора следует вводить с рекомендованной скоростью. После инъекции пациенту рекомендуется зафиксировать руку в вытянутом положении.</w:t>
      </w:r>
    </w:p>
    <w:p w14:paraId="13C62C00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Введение в диализную систему: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 можно вводить непосредственно в венозный участок диализной системы, строго соблюдая правила, описанные 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для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в/в инъекции.</w:t>
      </w:r>
    </w:p>
    <w:p w14:paraId="3492AB22" w14:textId="65F02173" w:rsidR="00BE7D99" w:rsidRPr="009004E8" w:rsidRDefault="00B01695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Расчет дозы:</w:t>
      </w:r>
    </w:p>
    <w:p w14:paraId="79BBF47D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Перед введением необходимо индивидуально рассчитать общий дефицит железа в организме по следующей формуле:</w:t>
      </w:r>
    </w:p>
    <w:p w14:paraId="3A9F6801" w14:textId="31A6A9C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Общий дефицит железа (мг) = масса тела (кг) х (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 норме -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="00B01695" w:rsidRPr="009004E8">
        <w:rPr>
          <w:rFonts w:ascii="Times New Roman" w:hAnsi="Times New Roman" w:cs="Times New Roman"/>
          <w:b w:val="0"/>
          <w:sz w:val="18"/>
          <w:szCs w:val="18"/>
        </w:rPr>
        <w:t xml:space="preserve"> больного (г/л)) х 0,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24 + депонированное железо (мг)</w:t>
      </w:r>
    </w:p>
    <w:p w14:paraId="1065CD4D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Для пациентов с массой тела менее 35 кг:</w:t>
      </w:r>
    </w:p>
    <w:p w14:paraId="2C81BBC5" w14:textId="7C824FAC" w:rsidR="00BE7D99" w:rsidRPr="009004E8" w:rsidRDefault="00B01695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• </w:t>
      </w:r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>количество депонированного железа =15 мг/кг массы тела;</w:t>
      </w:r>
    </w:p>
    <w:p w14:paraId="080D4245" w14:textId="1B27EC90" w:rsidR="00BE7D99" w:rsidRPr="009004E8" w:rsidRDefault="00B01695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• </w:t>
      </w:r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 xml:space="preserve">нормальный показатель </w:t>
      </w:r>
      <w:proofErr w:type="spellStart"/>
      <w:r w:rsidR="00BE7D99"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 xml:space="preserve"> =130 г/л.</w:t>
      </w:r>
    </w:p>
    <w:p w14:paraId="7FB41266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Для пациентов с массой тела более 35 кг:</w:t>
      </w:r>
    </w:p>
    <w:p w14:paraId="3A32E23E" w14:textId="39E0E295" w:rsidR="00BE7D99" w:rsidRPr="009004E8" w:rsidRDefault="00B01695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• </w:t>
      </w:r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>количество депонированного железа = 500 мг</w:t>
      </w:r>
    </w:p>
    <w:p w14:paraId="4D1E42DC" w14:textId="0ADE3DE7" w:rsidR="00BE7D99" w:rsidRPr="009004E8" w:rsidRDefault="00B01695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• </w:t>
      </w:r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 xml:space="preserve">нормальный показатель </w:t>
      </w:r>
      <w:proofErr w:type="spellStart"/>
      <w:r w:rsidR="00BE7D99"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 xml:space="preserve"> = 150 г/л.</w:t>
      </w:r>
    </w:p>
    <w:p w14:paraId="1CF7BFB3" w14:textId="5FAE795C" w:rsidR="00BE7D99" w:rsidRPr="009004E8" w:rsidRDefault="00B01695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Коэффициент 0,24 = 0,0034 х 0,</w:t>
      </w:r>
      <w:r w:rsidR="00BE7D99" w:rsidRPr="009004E8">
        <w:rPr>
          <w:rFonts w:ascii="Times New Roman" w:hAnsi="Times New Roman" w:cs="Times New Roman"/>
          <w:b w:val="0"/>
          <w:sz w:val="18"/>
          <w:szCs w:val="18"/>
        </w:rPr>
        <w:t>07 х 1000 (содержание железа в гемоглобине = 0.34%; объем крови = 7% от массы тела; коэффициент 1000 = перевод из "г" в "мг").</w:t>
      </w:r>
    </w:p>
    <w:p w14:paraId="6781FE55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Затем следует рассчитать кумулятивную (курсовую) дозу препарата, которую необходимо ввести для восполнения дефицита железа в организме по следующей формуле:</w:t>
      </w:r>
    </w:p>
    <w:p w14:paraId="0106E796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Общий объем препарата (мл) = Общий дефицит железа (мг)/20 мг/мл.</w:t>
      </w:r>
    </w:p>
    <w:p w14:paraId="7055AB7D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Кратность введения определяет врач, но введение производится не чаще, чем через день.</w:t>
      </w:r>
    </w:p>
    <w:p w14:paraId="21A0C419" w14:textId="43729AE2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Взрослые, в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т.ч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. пациенты пожилого возраста (старше 65 лет): 5-10 мл </w:t>
      </w:r>
      <w:r w:rsidR="00B01695" w:rsidRPr="009004E8">
        <w:rPr>
          <w:rFonts w:ascii="Times New Roman" w:hAnsi="Times New Roman" w:cs="Times New Roman"/>
          <w:b w:val="0"/>
          <w:sz w:val="18"/>
          <w:szCs w:val="18"/>
        </w:rPr>
        <w:t xml:space="preserve">препарата 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(100 - 200 мг железа) 1-3 раза в неделю.</w:t>
      </w:r>
    </w:p>
    <w:p w14:paraId="2F8FAA9B" w14:textId="45068401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Дети: имеются лишь ограниченные данные о применении препарата у детей. В случае необходимости р</w:t>
      </w:r>
      <w:r w:rsidR="00B01695" w:rsidRPr="009004E8">
        <w:rPr>
          <w:rFonts w:ascii="Times New Roman" w:hAnsi="Times New Roman" w:cs="Times New Roman"/>
          <w:b w:val="0"/>
          <w:sz w:val="18"/>
          <w:szCs w:val="18"/>
        </w:rPr>
        <w:t>екомендуется вводить не более 0,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15 мл препарата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(3 мг железа) на кг массы тела 1-3 раза в неделю в зависимости от количества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.</w:t>
      </w:r>
    </w:p>
    <w:p w14:paraId="3590C6A3" w14:textId="305F9C32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proofErr w:type="gramStart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 xml:space="preserve">Максимально переносимая разовая доза (взрослые, в </w:t>
      </w:r>
      <w:proofErr w:type="spellStart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т.ч</w:t>
      </w:r>
      <w:proofErr w:type="spellEnd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. пациенты пожилого возраста (старше 65 лет)</w:t>
      </w:r>
      <w:r w:rsidR="00B01695" w:rsidRPr="009004E8">
        <w:rPr>
          <w:rFonts w:ascii="Times New Roman" w:hAnsi="Times New Roman" w:cs="Times New Roman"/>
          <w:b w:val="0"/>
          <w:i/>
          <w:sz w:val="18"/>
          <w:szCs w:val="18"/>
        </w:rPr>
        <w:t>:</w:t>
      </w:r>
      <w:proofErr w:type="gramEnd"/>
    </w:p>
    <w:p w14:paraId="0E213C40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Для струйного введения: 10 мл препарата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(200 мг железа), продолжительность введения не менее 10 мин.</w:t>
      </w:r>
    </w:p>
    <w:p w14:paraId="2C111F58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Для капельного введения: в зависимости от показаний разовая доза может достигать 500 мг железа. Максимально допустимая разовая доза составляет 7 мг железа на кг массы тела 1 раз в неделю, но доза не должна превышать 500 мг железа.</w:t>
      </w:r>
    </w:p>
    <w:p w14:paraId="27EC405F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Как правило, высокие дозы ассоциируются с более высокой частотой нежелательных реакций.</w:t>
      </w:r>
    </w:p>
    <w:p w14:paraId="2D6E4857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В случае, когда общая терапевтическая доза превышает максимальную допустимую разовую дозу, рекомендуется дробное введение препарата.</w:t>
      </w:r>
    </w:p>
    <w:p w14:paraId="7ADA048C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Если спустя 1-2 недели после начала лечения препаратом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не происходит улучшения гематологических показателей, необходимо пересмотреть первоначальный диагноз.</w:t>
      </w:r>
    </w:p>
    <w:p w14:paraId="18ED71FD" w14:textId="26030450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 xml:space="preserve">Расчет дозы для восполнения содержания железа после кровопотери или сдачи </w:t>
      </w:r>
      <w:proofErr w:type="spellStart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аутологичной</w:t>
      </w:r>
      <w:proofErr w:type="spellEnd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 xml:space="preserve"> крови</w:t>
      </w:r>
      <w:r w:rsidR="00B01695" w:rsidRPr="009004E8">
        <w:rPr>
          <w:rFonts w:ascii="Times New Roman" w:hAnsi="Times New Roman" w:cs="Times New Roman"/>
          <w:b w:val="0"/>
          <w:i/>
          <w:sz w:val="18"/>
          <w:szCs w:val="18"/>
        </w:rPr>
        <w:t>:</w:t>
      </w:r>
    </w:p>
    <w:p w14:paraId="683AA570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Доза препарата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, необходимая для компенсации дефицита железа, рассчитывается по следующей формуле:</w:t>
      </w:r>
    </w:p>
    <w:p w14:paraId="2CE9B22C" w14:textId="0F76AC5E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• если количество потерянной крови известно: в/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введение 200 мг железа (= 10 мл препарата) приводит к такому же повышению концентрации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, как и переливание 1 единицы крови (= 400 мл с концентрацией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150 г/л).</w:t>
      </w:r>
    </w:p>
    <w:p w14:paraId="1C651ED3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Количество железа, которое необходимо восполнить (мг) = количество единиц потерянной крови х 200 или необходимый объем препарата 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(мл) = количество единиц потерянной крови × 10.</w:t>
      </w:r>
    </w:p>
    <w:p w14:paraId="6E5C3A26" w14:textId="1EB38153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• при снижении содержания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: следует использовать предыдущую формулу при условии, что депо железа пополнять не требуется.</w:t>
      </w:r>
    </w:p>
    <w:p w14:paraId="632FB82B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Количество железа, которое требуется восполнить (мг) = масса тела (кг)×0.24×(нормальный показатель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-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больного (г/л)). Например, масса тела 60 кг, дефицит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Hb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=10 г/л: необходимое количество железа = 150 мг, необходимый объем препарата 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= 7,5 мл</w:t>
      </w:r>
    </w:p>
    <w:p w14:paraId="38B926E8" w14:textId="5CC944C2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i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 xml:space="preserve">Лечение пациентов с хроническими почечными заболеваниями, находящихся на гемодиализе и получающих дополнительное лечение </w:t>
      </w:r>
      <w:proofErr w:type="spellStart"/>
      <w:r w:rsidRPr="009004E8">
        <w:rPr>
          <w:rFonts w:ascii="Times New Roman" w:hAnsi="Times New Roman" w:cs="Times New Roman"/>
          <w:b w:val="0"/>
          <w:i/>
          <w:sz w:val="18"/>
          <w:szCs w:val="18"/>
        </w:rPr>
        <w:t>эритропоэтином</w:t>
      </w:r>
      <w:proofErr w:type="spellEnd"/>
      <w:r w:rsidR="00B01695" w:rsidRPr="009004E8">
        <w:rPr>
          <w:rFonts w:ascii="Times New Roman" w:hAnsi="Times New Roman" w:cs="Times New Roman"/>
          <w:b w:val="0"/>
          <w:i/>
          <w:sz w:val="18"/>
          <w:szCs w:val="18"/>
        </w:rPr>
        <w:t>:</w:t>
      </w:r>
    </w:p>
    <w:p w14:paraId="32167197" w14:textId="75F8828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>/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инъекцию следует проводить как можно медленнее, продолжительность введения увеличивается по мере повышения дозы. </w:t>
      </w:r>
      <w:r w:rsidR="00B01695"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Процедура не представляет особой сложности для больных, находящихся на гемодиализе, т.к. у них обычно имеется подходящий </w:t>
      </w:r>
      <w:r w:rsidR="00B01695" w:rsidRPr="009004E8">
        <w:rPr>
          <w:rFonts w:ascii="Times New Roman" w:hAnsi="Times New Roman" w:cs="Times New Roman"/>
          <w:b w:val="0"/>
          <w:sz w:val="18"/>
          <w:szCs w:val="18"/>
        </w:rPr>
        <w:t>в/в доступ.</w:t>
      </w:r>
      <w:proofErr w:type="gramEnd"/>
      <w:r w:rsidR="00B01695" w:rsidRPr="009004E8">
        <w:rPr>
          <w:rFonts w:ascii="Times New Roman" w:hAnsi="Times New Roman" w:cs="Times New Roman"/>
          <w:b w:val="0"/>
          <w:sz w:val="18"/>
          <w:szCs w:val="18"/>
        </w:rPr>
        <w:t xml:space="preserve"> Препарат вводят в 0,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9% растворе натрия хлорида в течение не менее 15 мин в течение 2 последних часов сеанса гемодиализа.</w:t>
      </w:r>
    </w:p>
    <w:p w14:paraId="2210897F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Абсолютный дефицит железа (фаза коррекции анемии): 30-50 мг железа/сеанс диализа или 1000 мг железа в течение 6-10 недель.</w:t>
      </w:r>
    </w:p>
    <w:p w14:paraId="6F77863B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Фаза поддерживающей терапии: 10-25 мг железа/сеанс диализа или 100 мг железа 1 раз в месяц (в зависимости от концентрации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ферритина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сыворотки).</w:t>
      </w:r>
    </w:p>
    <w:p w14:paraId="57656F02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Фаза коррекции гемоглобина: 150 мг железа для повышения концентрации на 10 г/л.</w:t>
      </w:r>
    </w:p>
    <w:p w14:paraId="34C2C5BF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Побочные действия:</w:t>
      </w:r>
    </w:p>
    <w:p w14:paraId="2F28FC71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Побочные реакции при приеме добавок железа могут включать запор, диарею, тошноту, рвоту, темный стул и боли в животе. Побочные реакции терапии железа обычно носят кратковременный характер. Аллергическая сенсибилизация может возникать после перорального приема фолиевой кислоты. 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Возможно возникновение таких побочных реакций как тошнота, расстройство желудка, изжога, повышенная температура, озноб, диарея, рвота, желудочно-кишечный дискомфорт, стойкая зудящая сыпь, реакции гиперчувствительности, потеря аппетита.</w:t>
      </w:r>
      <w:proofErr w:type="gramEnd"/>
    </w:p>
    <w:p w14:paraId="2A444A88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lastRenderedPageBreak/>
        <w:t>Предупреждения и меры предосторожности:</w:t>
      </w:r>
    </w:p>
    <w:p w14:paraId="18EC196D" w14:textId="0BCEEB5F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При беременности, планировании беременности  или кормлении грудью, необходимо проконсультироваться с лечащим врачом или поставщиком медицинских услуг до начала использования или продолжения использования препарата. Не превышайте рекомендуемую дозу. Тип анемии и причины должны быть определены до начала приема </w:t>
      </w:r>
      <w:r w:rsidR="00EC0C4D" w:rsidRPr="009004E8">
        <w:rPr>
          <w:rFonts w:ascii="Times New Roman" w:hAnsi="Times New Roman" w:cs="Times New Roman"/>
          <w:b w:val="0"/>
          <w:sz w:val="18"/>
          <w:szCs w:val="18"/>
        </w:rPr>
        <w:t xml:space="preserve">препарата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. Поскольку анемия может быть результатом системного нарушения, такого как рецидивирующая кровопотеря, следует, если это возможно, устранить первопричину. </w:t>
      </w:r>
    </w:p>
    <w:p w14:paraId="34983228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 xml:space="preserve">Противопоказания: </w:t>
      </w:r>
    </w:p>
    <w:p w14:paraId="4DC8EDEA" w14:textId="5576302D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- гиперчувствительность к ЖПК или к компонентам препарата;</w:t>
      </w:r>
    </w:p>
    <w:p w14:paraId="305C0B7E" w14:textId="112321A8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</w:t>
      </w:r>
      <w:r w:rsidR="00EC0C4D" w:rsidRPr="009004E8">
        <w:rPr>
          <w:rFonts w:ascii="Times New Roman" w:hAnsi="Times New Roman" w:cs="Times New Roman"/>
          <w:b w:val="0"/>
          <w:sz w:val="18"/>
          <w:szCs w:val="18"/>
        </w:rPr>
        <w:t>детский возраст до 18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лет;</w:t>
      </w:r>
    </w:p>
    <w:p w14:paraId="5631A050" w14:textId="5EEF51B4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перенасыщение железом, например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гемохроматоз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,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гемосидероз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;</w:t>
      </w:r>
    </w:p>
    <w:p w14:paraId="48DFF81A" w14:textId="79CAD35E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нарушения усвоения железа, такие как анемия, вызванная отравлением свинцом,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сидеробластная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анемия, талассемия;</w:t>
      </w:r>
    </w:p>
    <w:p w14:paraId="533DCB85" w14:textId="3F28816F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- применение препарата в первом триместре беременности противопоказано. Препарат следует применять во втором и третьем триместрах беременности только тогда, когда потенциальная польза для матери превышает потенциальный риск для плода.</w:t>
      </w:r>
    </w:p>
    <w:p w14:paraId="04B59180" w14:textId="448AC9C4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- бронхиальная астма;</w:t>
      </w:r>
    </w:p>
    <w:p w14:paraId="449B895B" w14:textId="4FBFC3F5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- инфекционные болезни почек в острой стадии;</w:t>
      </w:r>
    </w:p>
    <w:p w14:paraId="1DF14832" w14:textId="212B5E0E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неконтролируемый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гиперпаратиреоз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;</w:t>
      </w:r>
    </w:p>
    <w:p w14:paraId="4C6B5B5D" w14:textId="0A0C7B14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- декомпенсированный цирроз печени;</w:t>
      </w:r>
    </w:p>
    <w:p w14:paraId="4D9CD746" w14:textId="2F7D5398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- анемия, причиной которой не является дефицит железа, например гемолитическая анемия или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мегалобластная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анемия, вызванная дефицитом витамина </w:t>
      </w:r>
      <w:r w:rsidRPr="009004E8">
        <w:rPr>
          <w:rFonts w:ascii="Times New Roman" w:hAnsi="Times New Roman" w:cs="Times New Roman"/>
          <w:b w:val="0"/>
          <w:sz w:val="18"/>
          <w:szCs w:val="18"/>
          <w:lang w:val="en-US"/>
        </w:rPr>
        <w:t>B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12, нарушения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эритропоэза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, гипоплазия костного мозга.</w:t>
      </w:r>
    </w:p>
    <w:p w14:paraId="10555078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Передозировка:</w:t>
      </w:r>
    </w:p>
    <w:p w14:paraId="33FCD314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Клинический ход острой передозировки железом может быть вариабельным. 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Первоначальные симптомы могут включать боли в животе, тошноту, рвоту, диарею, дегтеобразный стул,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мелену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,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гематемию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, гипотонию, тахикардию, метаболический ацидоз, гипергликемию, обезвоживание, сонливость, бледность, цианоз, усталость, судороги, шок и кому.</w:t>
      </w:r>
      <w:proofErr w:type="gramEnd"/>
    </w:p>
    <w:p w14:paraId="053A64AF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Беременность и грудное вскармливание:</w:t>
      </w:r>
    </w:p>
    <w:p w14:paraId="2C354CD1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В контролируемых исследованиях у беременных женщин во втором и третьем триместрах беременности не было отмечено нежелательного влияния препарата на мать и плод. Во время первого триместра беременности препарат следует применять только в том случае, если потенциальная польза от применения препарата у матери, превышает возможный риск для плода.</w:t>
      </w:r>
    </w:p>
    <w:p w14:paraId="13D0AD18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Взаимодействие с другими лекарственными средствами:</w:t>
      </w:r>
    </w:p>
    <w:p w14:paraId="478D29EA" w14:textId="1C285DFA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Как правило, взаимодействия </w:t>
      </w:r>
      <w:r w:rsidR="00EC0C4D" w:rsidRPr="009004E8">
        <w:rPr>
          <w:rFonts w:ascii="Times New Roman" w:hAnsi="Times New Roman" w:cs="Times New Roman"/>
          <w:b w:val="0"/>
          <w:sz w:val="18"/>
          <w:szCs w:val="18"/>
        </w:rPr>
        <w:t xml:space="preserve">препарата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Ферролайф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с пищей или лекарствами не наблюдаются и не очевидны, в отличие от того, что происходит с солями железа. Однако было показано, что пероральная соль железа демонстрирует следующий профиль взаимодействия.</w:t>
      </w:r>
    </w:p>
    <w:p w14:paraId="0D8DD8B1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Антациды: снижается всасывание железа в желудочно-кишечном тракте.</w:t>
      </w:r>
    </w:p>
    <w:p w14:paraId="15BEBA3F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Аскорбиновая кислота: усилено всасывание железа в желудочно-кишечном тракте. </w:t>
      </w:r>
    </w:p>
    <w:p w14:paraId="50FBC25A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Хлорамфеникол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: уровень железа в сыворотке может быть повышен.</w:t>
      </w:r>
    </w:p>
    <w:p w14:paraId="655BCAC3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Циметидин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: может снижаться всасывание в желудочно-кишечном тракте.</w:t>
      </w:r>
    </w:p>
    <w:p w14:paraId="0D7E9367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Леводопа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: снижение уровня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леводопы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 сыворотке крови.</w:t>
      </w:r>
    </w:p>
    <w:p w14:paraId="4BE993DC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Метилдопа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: может привести к снижению эффективности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метилдопы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>.</w:t>
      </w:r>
    </w:p>
    <w:p w14:paraId="5ADA36A9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Хинолоны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: абсорбция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хинолонов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 ЖКТ снижена.</w:t>
      </w:r>
    </w:p>
    <w:p w14:paraId="006FE623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Пеницилламин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: заметное снижение абсорбции </w:t>
      </w:r>
      <w:proofErr w:type="spellStart"/>
      <w:r w:rsidRPr="009004E8">
        <w:rPr>
          <w:rFonts w:ascii="Times New Roman" w:hAnsi="Times New Roman" w:cs="Times New Roman"/>
          <w:b w:val="0"/>
          <w:sz w:val="18"/>
          <w:szCs w:val="18"/>
        </w:rPr>
        <w:t>пеницилламина</w:t>
      </w:r>
      <w:proofErr w:type="spell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в желудочно-кишечном тракте.</w:t>
      </w:r>
    </w:p>
    <w:p w14:paraId="5FDC800A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Тетрациклины: снижение </w:t>
      </w:r>
      <w:proofErr w:type="gramStart"/>
      <w:r w:rsidRPr="009004E8">
        <w:rPr>
          <w:rFonts w:ascii="Times New Roman" w:hAnsi="Times New Roman" w:cs="Times New Roman"/>
          <w:b w:val="0"/>
          <w:sz w:val="18"/>
          <w:szCs w:val="18"/>
        </w:rPr>
        <w:t>абсорбции</w:t>
      </w:r>
      <w:proofErr w:type="gramEnd"/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как тетрациклинов, так и солей железа.</w:t>
      </w:r>
    </w:p>
    <w:p w14:paraId="2928E9BC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Пища: яйца и молоко препятствуют всасыванию железа. Прием добавок кальция и железа с пищей снижает всасывание железа на треть.</w:t>
      </w:r>
    </w:p>
    <w:p w14:paraId="5E3663F6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Форма выпуска: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 xml:space="preserve"> </w:t>
      </w:r>
    </w:p>
    <w:p w14:paraId="219B9808" w14:textId="0CF9598E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Раствор в ампулах по 5 мл  № 5 в упаковке.</w:t>
      </w:r>
    </w:p>
    <w:p w14:paraId="6924305D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Условия хранения:</w:t>
      </w:r>
    </w:p>
    <w:p w14:paraId="2C60483D" w14:textId="4AC298C6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Хранить в сухом, защищенном от света месте при температуре не выше 25</w:t>
      </w:r>
      <w:r w:rsidR="00D6423B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004E8">
        <w:rPr>
          <w:rFonts w:ascii="Times New Roman" w:hAnsi="Times New Roman" w:cs="Times New Roman"/>
          <w:b w:val="0"/>
          <w:sz w:val="18"/>
          <w:szCs w:val="18"/>
        </w:rPr>
        <w:t>°С.</w:t>
      </w:r>
    </w:p>
    <w:p w14:paraId="04C00795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Хранить препарат в недоступном для детей месте.</w:t>
      </w:r>
    </w:p>
    <w:p w14:paraId="55EF942D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Не использовать препарат по истечении срока годности, указанного на блистере и картонной коробке.</w:t>
      </w:r>
    </w:p>
    <w:p w14:paraId="2296C747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Условия отпуска из аптек:</w:t>
      </w:r>
    </w:p>
    <w:p w14:paraId="0D67C4E4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004E8">
        <w:rPr>
          <w:rFonts w:ascii="Times New Roman" w:hAnsi="Times New Roman" w:cs="Times New Roman"/>
          <w:b w:val="0"/>
          <w:sz w:val="18"/>
          <w:szCs w:val="18"/>
        </w:rPr>
        <w:t>По рецепту врача.</w:t>
      </w:r>
    </w:p>
    <w:p w14:paraId="60F906FD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</w:p>
    <w:p w14:paraId="4C8DFF89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Произведено для:</w:t>
      </w:r>
    </w:p>
    <w:p w14:paraId="7E910C9F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  <w:lang w:val="en-US"/>
        </w:rPr>
        <w:t>MAXX</w:t>
      </w:r>
      <w:r w:rsidRPr="009004E8">
        <w:rPr>
          <w:rFonts w:ascii="Times New Roman" w:hAnsi="Times New Roman" w:cs="Times New Roman"/>
          <w:sz w:val="18"/>
          <w:szCs w:val="18"/>
        </w:rPr>
        <w:t>-</w:t>
      </w:r>
      <w:r w:rsidRPr="009004E8">
        <w:rPr>
          <w:rFonts w:ascii="Times New Roman" w:hAnsi="Times New Roman" w:cs="Times New Roman"/>
          <w:sz w:val="18"/>
          <w:szCs w:val="18"/>
          <w:lang w:val="en-US"/>
        </w:rPr>
        <w:t>PHARMA</w:t>
      </w:r>
      <w:r w:rsidRPr="009004E8">
        <w:rPr>
          <w:rFonts w:ascii="Times New Roman" w:hAnsi="Times New Roman" w:cs="Times New Roman"/>
          <w:sz w:val="18"/>
          <w:szCs w:val="18"/>
        </w:rPr>
        <w:t xml:space="preserve"> </w:t>
      </w:r>
      <w:r w:rsidRPr="009004E8">
        <w:rPr>
          <w:rFonts w:ascii="Times New Roman" w:hAnsi="Times New Roman" w:cs="Times New Roman"/>
          <w:sz w:val="18"/>
          <w:szCs w:val="18"/>
          <w:lang w:val="en-US"/>
        </w:rPr>
        <w:t>LTD</w:t>
      </w:r>
    </w:p>
    <w:p w14:paraId="1D9E3882" w14:textId="77777777" w:rsidR="00BE7D99" w:rsidRPr="009004E8" w:rsidRDefault="00BE7D99" w:rsidP="00BE7D99">
      <w:pPr>
        <w:pStyle w:val="2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04E8">
        <w:rPr>
          <w:rFonts w:ascii="Times New Roman" w:hAnsi="Times New Roman" w:cs="Times New Roman"/>
          <w:sz w:val="18"/>
          <w:szCs w:val="18"/>
        </w:rPr>
        <w:t>Лондон, Великобритания</w:t>
      </w:r>
    </w:p>
    <w:p w14:paraId="4592F686" w14:textId="3E93602A" w:rsidR="00BE7D99" w:rsidRPr="00737B9A" w:rsidRDefault="00BE7D99" w:rsidP="00BE7D99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bookmarkStart w:id="5" w:name="_GoBack"/>
      <w:bookmarkEnd w:id="4"/>
      <w:bookmarkEnd w:id="5"/>
    </w:p>
    <w:sectPr w:rsidR="00BE7D99" w:rsidRPr="0073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7DBD"/>
    <w:multiLevelType w:val="multilevel"/>
    <w:tmpl w:val="19D0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EF7198"/>
    <w:multiLevelType w:val="multilevel"/>
    <w:tmpl w:val="69DC76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A907A8"/>
    <w:multiLevelType w:val="multilevel"/>
    <w:tmpl w:val="D75A4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70606C"/>
    <w:multiLevelType w:val="multilevel"/>
    <w:tmpl w:val="9A78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FC2F86"/>
    <w:multiLevelType w:val="multilevel"/>
    <w:tmpl w:val="BFD0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23783"/>
    <w:multiLevelType w:val="multilevel"/>
    <w:tmpl w:val="963C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39"/>
    <w:rsid w:val="000B7CCD"/>
    <w:rsid w:val="000C5CEB"/>
    <w:rsid w:val="00194669"/>
    <w:rsid w:val="001F1F2D"/>
    <w:rsid w:val="002002BE"/>
    <w:rsid w:val="002D4A88"/>
    <w:rsid w:val="002F5395"/>
    <w:rsid w:val="00307EB1"/>
    <w:rsid w:val="00371F14"/>
    <w:rsid w:val="003D0331"/>
    <w:rsid w:val="004408E4"/>
    <w:rsid w:val="00566E7F"/>
    <w:rsid w:val="005B1CF8"/>
    <w:rsid w:val="005F2E3F"/>
    <w:rsid w:val="00654017"/>
    <w:rsid w:val="00656A47"/>
    <w:rsid w:val="007154FC"/>
    <w:rsid w:val="00737B9A"/>
    <w:rsid w:val="00753A74"/>
    <w:rsid w:val="00756E06"/>
    <w:rsid w:val="008954DD"/>
    <w:rsid w:val="008D1408"/>
    <w:rsid w:val="009004E8"/>
    <w:rsid w:val="009047DC"/>
    <w:rsid w:val="00917039"/>
    <w:rsid w:val="00926DC0"/>
    <w:rsid w:val="00982F6A"/>
    <w:rsid w:val="009A6D84"/>
    <w:rsid w:val="00A009F6"/>
    <w:rsid w:val="00A439B4"/>
    <w:rsid w:val="00A624C8"/>
    <w:rsid w:val="00A95E56"/>
    <w:rsid w:val="00AB7CCB"/>
    <w:rsid w:val="00AE1E8D"/>
    <w:rsid w:val="00B01695"/>
    <w:rsid w:val="00B82F5D"/>
    <w:rsid w:val="00B85A9F"/>
    <w:rsid w:val="00BE7D99"/>
    <w:rsid w:val="00C24BDD"/>
    <w:rsid w:val="00CB0131"/>
    <w:rsid w:val="00D6423B"/>
    <w:rsid w:val="00DA291E"/>
    <w:rsid w:val="00E04CCC"/>
    <w:rsid w:val="00E36D72"/>
    <w:rsid w:val="00E86760"/>
    <w:rsid w:val="00EB0F0C"/>
    <w:rsid w:val="00EC0C4D"/>
    <w:rsid w:val="00F149DC"/>
    <w:rsid w:val="00F75932"/>
    <w:rsid w:val="00FF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9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03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039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917039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17039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17039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Не полужирный;Курсив;Интервал 0 pt"/>
    <w:basedOn w:val="2"/>
    <w:rsid w:val="009170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917039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zh-CN"/>
    </w:rPr>
  </w:style>
  <w:style w:type="character" w:customStyle="1" w:styleId="a3">
    <w:name w:val="Подпись к таблице_"/>
    <w:basedOn w:val="a0"/>
    <w:link w:val="a4"/>
    <w:rsid w:val="0091703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170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03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039"/>
    <w:pPr>
      <w:widowControl w:val="0"/>
      <w:shd w:val="clear" w:color="auto" w:fill="FFFFFF"/>
      <w:spacing w:after="240" w:line="269" w:lineRule="exact"/>
      <w:jc w:val="center"/>
    </w:pPr>
    <w:rPr>
      <w:rFonts w:ascii="Calibri" w:eastAsia="Calibri" w:hAnsi="Calibri" w:cs="Calibri"/>
      <w:b/>
      <w:bCs/>
    </w:rPr>
  </w:style>
  <w:style w:type="character" w:customStyle="1" w:styleId="3">
    <w:name w:val="Основной текст (3)_"/>
    <w:basedOn w:val="a0"/>
    <w:link w:val="3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70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Курсив"/>
    <w:basedOn w:val="2"/>
    <w:rsid w:val="00917039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9170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17039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17039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pt">
    <w:name w:val="Основной текст (2) + Не полужирный;Курсив;Интервал 0 pt"/>
    <w:basedOn w:val="2"/>
    <w:rsid w:val="009170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917039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zh-CN"/>
    </w:rPr>
  </w:style>
  <w:style w:type="character" w:customStyle="1" w:styleId="a3">
    <w:name w:val="Подпись к таблице_"/>
    <w:basedOn w:val="a0"/>
    <w:link w:val="a4"/>
    <w:rsid w:val="0091703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1703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2021-10-22T06:33:00Z</dcterms:created>
  <dcterms:modified xsi:type="dcterms:W3CDTF">2024-01-22T03:15:00Z</dcterms:modified>
</cp:coreProperties>
</file>