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54" w:rsidRPr="00DA7485" w:rsidRDefault="00B447DB" w:rsidP="00CD7E1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A7485">
        <w:rPr>
          <w:rFonts w:ascii="Times New Roman" w:hAnsi="Times New Roman" w:cs="Times New Roman"/>
          <w:b/>
          <w:sz w:val="18"/>
          <w:szCs w:val="18"/>
        </w:rPr>
        <w:t xml:space="preserve">АЛЛЕР </w:t>
      </w:r>
      <w:r w:rsidR="000A5154" w:rsidRPr="00DA7485">
        <w:rPr>
          <w:rFonts w:ascii="Times New Roman" w:hAnsi="Times New Roman" w:cs="Times New Roman"/>
          <w:b/>
          <w:sz w:val="18"/>
          <w:szCs w:val="18"/>
        </w:rPr>
        <w:t>СТОП</w:t>
      </w:r>
    </w:p>
    <w:p w:rsidR="004E5E9B" w:rsidRPr="00DA7485" w:rsidRDefault="000A5154" w:rsidP="00CD7E1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A7485">
        <w:rPr>
          <w:rFonts w:ascii="Times New Roman" w:hAnsi="Times New Roman" w:cs="Times New Roman"/>
          <w:b/>
          <w:sz w:val="18"/>
          <w:szCs w:val="18"/>
        </w:rPr>
        <w:t xml:space="preserve">Инструкция </w:t>
      </w:r>
    </w:p>
    <w:p w:rsidR="000A5154" w:rsidRPr="00DA7485" w:rsidRDefault="000A5154" w:rsidP="00CD7E1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A7485">
        <w:rPr>
          <w:rFonts w:ascii="Times New Roman" w:hAnsi="Times New Roman" w:cs="Times New Roman"/>
          <w:b/>
          <w:sz w:val="18"/>
          <w:szCs w:val="18"/>
        </w:rPr>
        <w:t>по медицинскому применению лекарственного средства</w:t>
      </w:r>
    </w:p>
    <w:p w:rsidR="00FF35BA" w:rsidRPr="00DA7485" w:rsidRDefault="00FF35BA" w:rsidP="000A515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4E5E9B" w:rsidRPr="00DA7485" w:rsidRDefault="004E5E9B" w:rsidP="000A515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0A5154" w:rsidRPr="00DA7485" w:rsidRDefault="000A5154" w:rsidP="000A51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A7485">
        <w:rPr>
          <w:rFonts w:ascii="Times New Roman" w:hAnsi="Times New Roman" w:cs="Times New Roman"/>
          <w:b/>
          <w:sz w:val="18"/>
          <w:szCs w:val="18"/>
        </w:rPr>
        <w:t>Торговое название:</w:t>
      </w:r>
      <w:r w:rsidRPr="00DA7485">
        <w:rPr>
          <w:rFonts w:ascii="Times New Roman" w:hAnsi="Times New Roman" w:cs="Times New Roman"/>
          <w:sz w:val="18"/>
          <w:szCs w:val="18"/>
        </w:rPr>
        <w:t xml:space="preserve">  </w:t>
      </w:r>
      <w:r w:rsidRPr="00DA7485">
        <w:rPr>
          <w:rFonts w:ascii="Times New Roman" w:hAnsi="Times New Roman" w:cs="Times New Roman"/>
          <w:sz w:val="18"/>
          <w:szCs w:val="18"/>
          <w:lang w:val="tg-Cyrl-TJ"/>
        </w:rPr>
        <w:t>Аллер</w:t>
      </w:r>
      <w:r w:rsidR="00B447DB" w:rsidRPr="00DA7485">
        <w:rPr>
          <w:rFonts w:ascii="Times New Roman" w:hAnsi="Times New Roman" w:cs="Times New Roman"/>
          <w:sz w:val="18"/>
          <w:szCs w:val="18"/>
        </w:rPr>
        <w:t xml:space="preserve"> </w:t>
      </w:r>
      <w:r w:rsidRPr="00DA7485">
        <w:rPr>
          <w:rFonts w:ascii="Times New Roman" w:hAnsi="Times New Roman" w:cs="Times New Roman"/>
          <w:sz w:val="18"/>
          <w:szCs w:val="18"/>
        </w:rPr>
        <w:t>С</w:t>
      </w:r>
      <w:r w:rsidRPr="00DA7485">
        <w:rPr>
          <w:rFonts w:ascii="Times New Roman" w:hAnsi="Times New Roman" w:cs="Times New Roman"/>
          <w:sz w:val="18"/>
          <w:szCs w:val="18"/>
          <w:lang w:val="tg-Cyrl-TJ"/>
        </w:rPr>
        <w:t>топ</w:t>
      </w:r>
      <w:r w:rsidRPr="00DA7485">
        <w:rPr>
          <w:rFonts w:ascii="Times New Roman" w:hAnsi="Times New Roman" w:cs="Times New Roman"/>
          <w:sz w:val="18"/>
          <w:szCs w:val="18"/>
        </w:rPr>
        <w:t>.</w:t>
      </w:r>
    </w:p>
    <w:p w:rsidR="000A5154" w:rsidRPr="00DA7485" w:rsidRDefault="000A5154" w:rsidP="000A51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A7485">
        <w:rPr>
          <w:rFonts w:ascii="Times New Roman" w:hAnsi="Times New Roman" w:cs="Times New Roman"/>
          <w:b/>
          <w:sz w:val="18"/>
          <w:szCs w:val="18"/>
        </w:rPr>
        <w:t>Международное непатентованное название:</w:t>
      </w:r>
      <w:r w:rsidR="00FF35BA" w:rsidRPr="00DA7485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="00FF35BA" w:rsidRPr="00DA7485">
        <w:rPr>
          <w:rFonts w:ascii="Times New Roman" w:hAnsi="Times New Roman" w:cs="Times New Roman"/>
          <w:sz w:val="18"/>
          <w:szCs w:val="18"/>
        </w:rPr>
        <w:t>Ц</w:t>
      </w:r>
      <w:r w:rsidRPr="00DA7485">
        <w:rPr>
          <w:rFonts w:ascii="Times New Roman" w:hAnsi="Times New Roman" w:cs="Times New Roman"/>
          <w:sz w:val="18"/>
          <w:szCs w:val="18"/>
        </w:rPr>
        <w:t>етиризин</w:t>
      </w:r>
      <w:r w:rsidR="00FF35BA" w:rsidRPr="00DA7485">
        <w:rPr>
          <w:rFonts w:ascii="Times New Roman" w:hAnsi="Times New Roman" w:cs="Times New Roman"/>
          <w:sz w:val="18"/>
          <w:szCs w:val="18"/>
        </w:rPr>
        <w:t>а</w:t>
      </w:r>
      <w:proofErr w:type="spellEnd"/>
      <w:r w:rsidR="00FF35BA" w:rsidRPr="00DA748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F35BA" w:rsidRPr="00DA7485">
        <w:rPr>
          <w:rFonts w:ascii="Times New Roman" w:hAnsi="Times New Roman" w:cs="Times New Roman"/>
          <w:sz w:val="18"/>
          <w:szCs w:val="18"/>
        </w:rPr>
        <w:t>дигидрохлорид</w:t>
      </w:r>
      <w:proofErr w:type="spellEnd"/>
      <w:r w:rsidRPr="00DA7485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0A5154" w:rsidRPr="00DA7485" w:rsidRDefault="000A5154" w:rsidP="000A51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A7485">
        <w:rPr>
          <w:rFonts w:ascii="Times New Roman" w:hAnsi="Times New Roman" w:cs="Times New Roman"/>
          <w:b/>
          <w:sz w:val="18"/>
          <w:szCs w:val="18"/>
        </w:rPr>
        <w:t>Лекарственная форма:</w:t>
      </w:r>
      <w:r w:rsidR="00FF35BA" w:rsidRPr="00DA7485">
        <w:rPr>
          <w:rFonts w:ascii="Times New Roman" w:hAnsi="Times New Roman" w:cs="Times New Roman"/>
          <w:sz w:val="18"/>
          <w:szCs w:val="18"/>
        </w:rPr>
        <w:t xml:space="preserve"> Т</w:t>
      </w:r>
      <w:r w:rsidRPr="00DA7485">
        <w:rPr>
          <w:rFonts w:ascii="Times New Roman" w:hAnsi="Times New Roman" w:cs="Times New Roman"/>
          <w:sz w:val="18"/>
          <w:szCs w:val="18"/>
        </w:rPr>
        <w:t xml:space="preserve">аблетки для приема внутрь, покрытые оболочкой. </w:t>
      </w:r>
    </w:p>
    <w:p w:rsidR="009143B1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proofErr w:type="spellStart"/>
      <w:proofErr w:type="gramStart"/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Фармако</w:t>
      </w:r>
      <w:proofErr w:type="spellEnd"/>
      <w:r w:rsidR="00FF35BA"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-</w:t>
      </w: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терапевтическая</w:t>
      </w:r>
      <w:proofErr w:type="gramEnd"/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 xml:space="preserve"> группа</w:t>
      </w:r>
      <w:r w:rsidR="000A5154"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 xml:space="preserve">: </w:t>
      </w:r>
      <w:r w:rsidR="00FF35BA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П</w:t>
      </w:r>
      <w:r w:rsidR="000A5154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ротивоаллергическое средство,  блокатор H1-гистаминовых рецепторов.</w:t>
      </w:r>
    </w:p>
    <w:p w:rsidR="009143B1" w:rsidRPr="00DA7485" w:rsidRDefault="000A5154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Код АТХ:</w:t>
      </w: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</w:t>
      </w:r>
      <w:r w:rsidR="009143B1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[R06AE07]. </w:t>
      </w:r>
    </w:p>
    <w:p w:rsidR="009143B1" w:rsidRPr="00DA7485" w:rsidRDefault="00FF35BA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Состав</w:t>
      </w:r>
      <w:r w:rsidR="000A5154"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 xml:space="preserve">: </w:t>
      </w:r>
      <w:r w:rsidR="009143B1" w:rsidRPr="00DA7485">
        <w:rPr>
          <w:rFonts w:ascii="Times New Roman" w:hAnsi="Times New Roman" w:cs="Times New Roman"/>
          <w:i/>
          <w:color w:val="404040" w:themeColor="text1" w:themeTint="BF"/>
          <w:sz w:val="18"/>
          <w:szCs w:val="18"/>
        </w:rPr>
        <w:t>Каждая таблетка, покрытая оболочкой, содержит</w:t>
      </w:r>
      <w:r w:rsidR="000A5154" w:rsidRPr="00DA7485">
        <w:rPr>
          <w:rFonts w:ascii="Times New Roman" w:hAnsi="Times New Roman" w:cs="Times New Roman"/>
          <w:i/>
          <w:color w:val="404040" w:themeColor="text1" w:themeTint="BF"/>
          <w:sz w:val="18"/>
          <w:szCs w:val="18"/>
        </w:rPr>
        <w:t>:</w:t>
      </w:r>
    </w:p>
    <w:p w:rsidR="009143B1" w:rsidRPr="00DA7485" w:rsidRDefault="000A5154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10 мг </w:t>
      </w:r>
      <w:r w:rsidR="004E5E9B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цетиризина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дигидрохлорида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;</w:t>
      </w:r>
    </w:p>
    <w:p w:rsidR="009143B1" w:rsidRPr="00DA7485" w:rsidRDefault="009143B1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в качестве вспомогательного вещества - лактозу.</w:t>
      </w: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 xml:space="preserve"> </w:t>
      </w:r>
    </w:p>
    <w:p w:rsidR="009143B1" w:rsidRPr="00DA7485" w:rsidRDefault="000A5154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Фармакологическое действие</w:t>
      </w:r>
      <w:r w:rsidR="00FF35BA"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:</w:t>
      </w:r>
    </w:p>
    <w:p w:rsidR="000A5154" w:rsidRPr="00DA7485" w:rsidRDefault="000A5154" w:rsidP="00922515">
      <w:pPr>
        <w:spacing w:after="0"/>
        <w:rPr>
          <w:rFonts w:ascii="Times New Roman" w:hAnsi="Times New Roman" w:cs="Times New Roman"/>
          <w:i/>
          <w:color w:val="404040" w:themeColor="text1" w:themeTint="BF"/>
          <w:sz w:val="18"/>
          <w:szCs w:val="18"/>
        </w:rPr>
      </w:pPr>
      <w:proofErr w:type="spellStart"/>
      <w:r w:rsidRPr="00DA7485">
        <w:rPr>
          <w:rFonts w:ascii="Times New Roman" w:hAnsi="Times New Roman" w:cs="Times New Roman"/>
          <w:i/>
          <w:color w:val="404040" w:themeColor="text1" w:themeTint="BF"/>
          <w:sz w:val="18"/>
          <w:szCs w:val="18"/>
        </w:rPr>
        <w:t>Фармакодинамика</w:t>
      </w:r>
      <w:proofErr w:type="spellEnd"/>
      <w:r w:rsidRPr="00DA7485">
        <w:rPr>
          <w:rFonts w:ascii="Times New Roman" w:hAnsi="Times New Roman" w:cs="Times New Roman"/>
          <w:i/>
          <w:color w:val="404040" w:themeColor="text1" w:themeTint="BF"/>
          <w:sz w:val="18"/>
          <w:szCs w:val="18"/>
        </w:rPr>
        <w:t>:</w:t>
      </w:r>
    </w:p>
    <w:p w:rsidR="000A5154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Аллер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-СТОП - антигистаминный препарат, оказывает противоаллергическое действие. Селективный антагонист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гистаминовых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Н1-рецепторов,  не вызывает значимого антихолинергического и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антисеротонинового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эффекта. В терапевтических дозах практически не оказывает седативного действия и не вызывает сонливости. Препарат оказывает влияние на «раннюю»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гистаминозависимую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стадию аллергической реакции и на «позднюю» клеточную стадию, уменьшая миграцию эозинофилов, а также снижает экспрессию молекул адгезии, таких как ICAM-1 и VCAM-1, которые являются маркерами аллергического воспаления. Подавляет действие других медиаторов и индукторов  секреции гистамина, таких как PAF (тромбоцит-активирующий фактор) и субстанция </w:t>
      </w:r>
      <w:proofErr w:type="gram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Р</w:t>
      </w:r>
      <w:proofErr w:type="gram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;  снижает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гистамининдуцированную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бронхоконстрикцию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при бронхиальной астме легкого течения, обладает высокой ингибирующей способно</w:t>
      </w:r>
      <w:r w:rsidR="000A5154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стью в отношении кожных реакций.</w:t>
      </w:r>
    </w:p>
    <w:p w:rsidR="000A5154" w:rsidRPr="00DA7485" w:rsidRDefault="000A5154" w:rsidP="00922515">
      <w:pPr>
        <w:spacing w:after="0"/>
        <w:rPr>
          <w:rFonts w:ascii="Times New Roman" w:hAnsi="Times New Roman" w:cs="Times New Roman"/>
          <w:i/>
          <w:color w:val="404040" w:themeColor="text1" w:themeTint="BF"/>
          <w:sz w:val="18"/>
          <w:szCs w:val="18"/>
        </w:rPr>
      </w:pPr>
      <w:proofErr w:type="spellStart"/>
      <w:r w:rsidRPr="00DA7485">
        <w:rPr>
          <w:rFonts w:ascii="Times New Roman" w:hAnsi="Times New Roman" w:cs="Times New Roman"/>
          <w:i/>
          <w:color w:val="404040" w:themeColor="text1" w:themeTint="BF"/>
          <w:sz w:val="18"/>
          <w:szCs w:val="18"/>
        </w:rPr>
        <w:t>Фармакокинетика</w:t>
      </w:r>
      <w:proofErr w:type="spellEnd"/>
      <w:r w:rsidRPr="00DA7485">
        <w:rPr>
          <w:rFonts w:ascii="Times New Roman" w:hAnsi="Times New Roman" w:cs="Times New Roman"/>
          <w:i/>
          <w:color w:val="404040" w:themeColor="text1" w:themeTint="BF"/>
          <w:sz w:val="18"/>
          <w:szCs w:val="18"/>
        </w:rPr>
        <w:t>:</w:t>
      </w:r>
    </w:p>
    <w:p w:rsidR="000A5154" w:rsidRPr="00DA7485" w:rsidRDefault="000A5154" w:rsidP="000A51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A7485">
        <w:rPr>
          <w:rFonts w:ascii="Times New Roman" w:hAnsi="Times New Roman" w:cs="Times New Roman"/>
          <w:i/>
          <w:sz w:val="18"/>
          <w:szCs w:val="18"/>
        </w:rPr>
        <w:t>Всасывание</w:t>
      </w:r>
      <w:r w:rsidRPr="00DA7485">
        <w:rPr>
          <w:rFonts w:ascii="Times New Roman" w:hAnsi="Times New Roman" w:cs="Times New Roman"/>
          <w:sz w:val="18"/>
          <w:szCs w:val="18"/>
        </w:rPr>
        <w:t>: после приема внутрь препарат быстро и хорошо всасывается из желудочно-кишечного тракта. Максимальный уровень концентрации определяется примерно через 30 - 60 минут. Прием пищи не оказывает существенного влияния на величину абсорбции, но удлиняет время достижения максимальной концентрации (</w:t>
      </w:r>
      <w:proofErr w:type="spellStart"/>
      <w:r w:rsidRPr="00DA7485">
        <w:rPr>
          <w:rFonts w:ascii="Times New Roman" w:hAnsi="Times New Roman" w:cs="Times New Roman"/>
          <w:sz w:val="18"/>
          <w:szCs w:val="18"/>
        </w:rPr>
        <w:t>ТС</w:t>
      </w:r>
      <w:proofErr w:type="gramStart"/>
      <w:r w:rsidRPr="00DA7485">
        <w:rPr>
          <w:rFonts w:ascii="Times New Roman" w:hAnsi="Times New Roman" w:cs="Times New Roman"/>
          <w:sz w:val="18"/>
          <w:szCs w:val="18"/>
        </w:rPr>
        <w:t>m</w:t>
      </w:r>
      <w:proofErr w:type="gramEnd"/>
      <w:r w:rsidRPr="00DA7485">
        <w:rPr>
          <w:rFonts w:ascii="Times New Roman" w:hAnsi="Times New Roman" w:cs="Times New Roman"/>
          <w:sz w:val="18"/>
          <w:szCs w:val="18"/>
        </w:rPr>
        <w:t>ах</w:t>
      </w:r>
      <w:proofErr w:type="spellEnd"/>
      <w:r w:rsidRPr="00DA7485">
        <w:rPr>
          <w:rFonts w:ascii="Times New Roman" w:hAnsi="Times New Roman" w:cs="Times New Roman"/>
          <w:sz w:val="18"/>
          <w:szCs w:val="18"/>
        </w:rPr>
        <w:t>) на 1 час и снижает величину максимальной концентрации (</w:t>
      </w:r>
      <w:proofErr w:type="spellStart"/>
      <w:r w:rsidRPr="00DA7485">
        <w:rPr>
          <w:rFonts w:ascii="Times New Roman" w:hAnsi="Times New Roman" w:cs="Times New Roman"/>
          <w:sz w:val="18"/>
          <w:szCs w:val="18"/>
        </w:rPr>
        <w:t>Сmах</w:t>
      </w:r>
      <w:proofErr w:type="spellEnd"/>
      <w:r w:rsidRPr="00DA7485">
        <w:rPr>
          <w:rFonts w:ascii="Times New Roman" w:hAnsi="Times New Roman" w:cs="Times New Roman"/>
          <w:sz w:val="18"/>
          <w:szCs w:val="18"/>
        </w:rPr>
        <w:t xml:space="preserve">) на 23 %. </w:t>
      </w:r>
    </w:p>
    <w:p w:rsidR="000A5154" w:rsidRPr="00DA7485" w:rsidRDefault="000A5154" w:rsidP="000A51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A7485">
        <w:rPr>
          <w:rFonts w:ascii="Times New Roman" w:hAnsi="Times New Roman" w:cs="Times New Roman"/>
          <w:i/>
          <w:sz w:val="18"/>
          <w:szCs w:val="18"/>
        </w:rPr>
        <w:t>Распределение</w:t>
      </w:r>
      <w:r w:rsidRPr="00DA7485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DA7485">
        <w:rPr>
          <w:rFonts w:ascii="Times New Roman" w:hAnsi="Times New Roman" w:cs="Times New Roman"/>
          <w:sz w:val="18"/>
          <w:szCs w:val="18"/>
        </w:rPr>
        <w:t>цетиризин</w:t>
      </w:r>
      <w:proofErr w:type="spellEnd"/>
      <w:r w:rsidRPr="00DA7485">
        <w:rPr>
          <w:rFonts w:ascii="Times New Roman" w:hAnsi="Times New Roman" w:cs="Times New Roman"/>
          <w:sz w:val="18"/>
          <w:szCs w:val="18"/>
        </w:rPr>
        <w:t xml:space="preserve"> связывается с белками плазмы крови примерно на 93 %. </w:t>
      </w:r>
    </w:p>
    <w:p w:rsidR="00FF35BA" w:rsidRPr="00DA7485" w:rsidRDefault="000A5154" w:rsidP="000A51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A7485">
        <w:rPr>
          <w:rFonts w:ascii="Times New Roman" w:hAnsi="Times New Roman" w:cs="Times New Roman"/>
          <w:sz w:val="18"/>
          <w:szCs w:val="18"/>
        </w:rPr>
        <w:t>Величина объема распределения (</w:t>
      </w:r>
      <w:proofErr w:type="spellStart"/>
      <w:r w:rsidRPr="00DA7485">
        <w:rPr>
          <w:rFonts w:ascii="Times New Roman" w:hAnsi="Times New Roman" w:cs="Times New Roman"/>
          <w:sz w:val="18"/>
          <w:szCs w:val="18"/>
        </w:rPr>
        <w:t>Vd</w:t>
      </w:r>
      <w:proofErr w:type="spellEnd"/>
      <w:r w:rsidR="00FF35BA" w:rsidRPr="00DA7485">
        <w:rPr>
          <w:rFonts w:ascii="Times New Roman" w:hAnsi="Times New Roman" w:cs="Times New Roman"/>
          <w:sz w:val="18"/>
          <w:szCs w:val="18"/>
        </w:rPr>
        <w:t>) низкая (0,5 л/кг).</w:t>
      </w:r>
    </w:p>
    <w:p w:rsidR="000A5154" w:rsidRPr="00DA7485" w:rsidRDefault="000A5154" w:rsidP="000A51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A7485">
        <w:rPr>
          <w:rFonts w:ascii="Times New Roman" w:hAnsi="Times New Roman" w:cs="Times New Roman"/>
          <w:i/>
          <w:sz w:val="18"/>
          <w:szCs w:val="18"/>
        </w:rPr>
        <w:t>Метаболизм:</w:t>
      </w:r>
      <w:r w:rsidRPr="00DA748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A7485">
        <w:rPr>
          <w:rFonts w:ascii="Times New Roman" w:hAnsi="Times New Roman" w:cs="Times New Roman"/>
          <w:sz w:val="18"/>
          <w:szCs w:val="18"/>
        </w:rPr>
        <w:t>цетиризин</w:t>
      </w:r>
      <w:proofErr w:type="spellEnd"/>
      <w:r w:rsidRPr="00DA7485">
        <w:rPr>
          <w:rFonts w:ascii="Times New Roman" w:hAnsi="Times New Roman" w:cs="Times New Roman"/>
          <w:sz w:val="18"/>
          <w:szCs w:val="18"/>
        </w:rPr>
        <w:t xml:space="preserve"> в небольших количествах </w:t>
      </w:r>
      <w:proofErr w:type="spellStart"/>
      <w:r w:rsidRPr="00DA7485">
        <w:rPr>
          <w:rFonts w:ascii="Times New Roman" w:hAnsi="Times New Roman" w:cs="Times New Roman"/>
          <w:sz w:val="18"/>
          <w:szCs w:val="18"/>
        </w:rPr>
        <w:t>метаболизируется</w:t>
      </w:r>
      <w:proofErr w:type="spellEnd"/>
      <w:r w:rsidRPr="00DA7485">
        <w:rPr>
          <w:rFonts w:ascii="Times New Roman" w:hAnsi="Times New Roman" w:cs="Times New Roman"/>
          <w:sz w:val="18"/>
          <w:szCs w:val="18"/>
        </w:rPr>
        <w:t xml:space="preserve"> путем О-</w:t>
      </w:r>
      <w:proofErr w:type="spellStart"/>
      <w:r w:rsidRPr="00DA7485">
        <w:rPr>
          <w:rFonts w:ascii="Times New Roman" w:hAnsi="Times New Roman" w:cs="Times New Roman"/>
          <w:sz w:val="18"/>
          <w:szCs w:val="18"/>
        </w:rPr>
        <w:t>деалкилирования</w:t>
      </w:r>
      <w:proofErr w:type="spellEnd"/>
      <w:r w:rsidRPr="00DA7485">
        <w:rPr>
          <w:rFonts w:ascii="Times New Roman" w:hAnsi="Times New Roman" w:cs="Times New Roman"/>
          <w:sz w:val="18"/>
          <w:szCs w:val="18"/>
        </w:rPr>
        <w:t xml:space="preserve"> с образованием неактивного метаболита. При 10-дневном применении в дозе 10 мг накопления препарата не наблюдается. </w:t>
      </w:r>
    </w:p>
    <w:p w:rsidR="000A5154" w:rsidRPr="00DA7485" w:rsidRDefault="000A5154" w:rsidP="000A51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A7485">
        <w:rPr>
          <w:rFonts w:ascii="Times New Roman" w:hAnsi="Times New Roman" w:cs="Times New Roman"/>
          <w:i/>
          <w:sz w:val="18"/>
          <w:szCs w:val="18"/>
        </w:rPr>
        <w:t>Выведение</w:t>
      </w:r>
      <w:r w:rsidRPr="00DA7485">
        <w:rPr>
          <w:rFonts w:ascii="Times New Roman" w:hAnsi="Times New Roman" w:cs="Times New Roman"/>
          <w:sz w:val="18"/>
          <w:szCs w:val="18"/>
        </w:rPr>
        <w:t xml:space="preserve">: примерно на 70 % происходит почками в основном в неизмененном виде. Помимо почек выводится через кишечник. Величина системного клиренса составляет около 54 мл/мин. Величина периода полувыведения составляет около 10 часов. У детей в возрасте от 6 до 12 лет величина периода полувыведения снижается до 6 часов. </w:t>
      </w:r>
    </w:p>
    <w:p w:rsidR="000A5154" w:rsidRPr="00DA7485" w:rsidRDefault="000A5154" w:rsidP="000A51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DA7485">
        <w:rPr>
          <w:rFonts w:ascii="Times New Roman" w:hAnsi="Times New Roman" w:cs="Times New Roman"/>
          <w:sz w:val="18"/>
          <w:szCs w:val="18"/>
        </w:rPr>
        <w:t xml:space="preserve">При нарушении функции почек (клиренс </w:t>
      </w:r>
      <w:proofErr w:type="spellStart"/>
      <w:r w:rsidRPr="00DA7485">
        <w:rPr>
          <w:rFonts w:ascii="Times New Roman" w:hAnsi="Times New Roman" w:cs="Times New Roman"/>
          <w:sz w:val="18"/>
          <w:szCs w:val="18"/>
        </w:rPr>
        <w:t>креатинина</w:t>
      </w:r>
      <w:proofErr w:type="spellEnd"/>
      <w:r w:rsidRPr="00DA7485">
        <w:rPr>
          <w:rFonts w:ascii="Times New Roman" w:hAnsi="Times New Roman" w:cs="Times New Roman"/>
          <w:sz w:val="18"/>
          <w:szCs w:val="18"/>
        </w:rPr>
        <w:t xml:space="preserve"> ниже 11-31 мл/мин) и у пациентов, находящихся на гемодиализе (клиренс </w:t>
      </w:r>
      <w:proofErr w:type="spellStart"/>
      <w:r w:rsidRPr="00DA7485">
        <w:rPr>
          <w:rFonts w:ascii="Times New Roman" w:hAnsi="Times New Roman" w:cs="Times New Roman"/>
          <w:sz w:val="18"/>
          <w:szCs w:val="18"/>
        </w:rPr>
        <w:t>креатинина</w:t>
      </w:r>
      <w:proofErr w:type="spellEnd"/>
      <w:r w:rsidRPr="00DA7485">
        <w:rPr>
          <w:rFonts w:ascii="Times New Roman" w:hAnsi="Times New Roman" w:cs="Times New Roman"/>
          <w:sz w:val="18"/>
          <w:szCs w:val="18"/>
        </w:rPr>
        <w:t xml:space="preserve"> менее 7 мл/мин) величина периода полувыведения увеличивается в 3 раза, общий клиренс уменьшается на 70%. </w:t>
      </w:r>
      <w:r w:rsidR="00FF35BA" w:rsidRPr="00DA7485">
        <w:rPr>
          <w:rFonts w:ascii="Times New Roman" w:hAnsi="Times New Roman" w:cs="Times New Roman"/>
          <w:sz w:val="18"/>
          <w:szCs w:val="18"/>
        </w:rPr>
        <w:t xml:space="preserve"> </w:t>
      </w:r>
      <w:r w:rsidRPr="00DA7485">
        <w:rPr>
          <w:rFonts w:ascii="Times New Roman" w:hAnsi="Times New Roman" w:cs="Times New Roman"/>
          <w:sz w:val="18"/>
          <w:szCs w:val="18"/>
        </w:rPr>
        <w:t>На фоне хронических заболеваний печени и у пожилых пациентов при приеме препарата в дозе 10 мг отмечается увеличение величины периода полувыведения на 50 % и уменьшение системного</w:t>
      </w:r>
      <w:proofErr w:type="gramEnd"/>
      <w:r w:rsidRPr="00DA7485">
        <w:rPr>
          <w:rFonts w:ascii="Times New Roman" w:hAnsi="Times New Roman" w:cs="Times New Roman"/>
          <w:sz w:val="18"/>
          <w:szCs w:val="18"/>
        </w:rPr>
        <w:t xml:space="preserve"> клиренса на 40 %. </w:t>
      </w:r>
    </w:p>
    <w:p w:rsidR="009143B1" w:rsidRPr="00DA7485" w:rsidRDefault="000A5154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Показания к применению:</w:t>
      </w:r>
    </w:p>
    <w:p w:rsidR="009143B1" w:rsidRPr="00DA7485" w:rsidRDefault="000A5154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- с</w:t>
      </w:r>
      <w:r w:rsidR="009143B1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езонный и хронический аллергический ринит;</w:t>
      </w:r>
    </w:p>
    <w:p w:rsidR="009143B1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- аллергический конъюнктивит;</w:t>
      </w:r>
    </w:p>
    <w:p w:rsidR="009143B1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- дерматозы, протекающие с зудом;</w:t>
      </w:r>
    </w:p>
    <w:p w:rsidR="004E5E9B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- крапивница (включая хроническую идиопатическую крапивницу)</w:t>
      </w:r>
      <w:r w:rsidR="004E5E9B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;</w:t>
      </w:r>
    </w:p>
    <w:p w:rsidR="009143B1" w:rsidRPr="00DA7485" w:rsidRDefault="004E5E9B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- </w:t>
      </w:r>
      <w:r w:rsidR="009143B1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отек </w:t>
      </w:r>
      <w:proofErr w:type="spellStart"/>
      <w:r w:rsidR="009143B1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Квинке</w:t>
      </w:r>
      <w:proofErr w:type="spellEnd"/>
      <w:r w:rsidR="009143B1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. </w:t>
      </w:r>
    </w:p>
    <w:p w:rsidR="009143B1" w:rsidRPr="00DA7485" w:rsidRDefault="00E745CE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Противопоказания:</w:t>
      </w:r>
    </w:p>
    <w:p w:rsidR="00E745CE" w:rsidRPr="00DA7485" w:rsidRDefault="00FF35BA" w:rsidP="00FF35BA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- </w:t>
      </w:r>
      <w:r w:rsidR="00E745CE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г</w:t>
      </w:r>
      <w:r w:rsidR="009143B1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иперчувствительность</w:t>
      </w:r>
      <w:r w:rsidR="00E745CE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к препарату;</w:t>
      </w:r>
    </w:p>
    <w:p w:rsidR="00E745CE" w:rsidRPr="00DA7485" w:rsidRDefault="00FF35BA" w:rsidP="00FF35BA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- </w:t>
      </w:r>
      <w:r w:rsidR="00E745CE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беременность и лактация;</w:t>
      </w:r>
    </w:p>
    <w:p w:rsidR="00E745CE" w:rsidRPr="00DA7485" w:rsidRDefault="00FF35BA" w:rsidP="00FF35BA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- </w:t>
      </w:r>
      <w:r w:rsidR="00E745CE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детский возраст до 2 лет;</w:t>
      </w:r>
    </w:p>
    <w:p w:rsidR="009143B1" w:rsidRPr="00DA7485" w:rsidRDefault="00FF35BA" w:rsidP="00FF35BA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- </w:t>
      </w:r>
      <w:r w:rsidR="009143B1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тяжелая почечная недостаточность (клиренс </w:t>
      </w:r>
      <w:proofErr w:type="spellStart"/>
      <w:r w:rsidR="009143B1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креатинина</w:t>
      </w:r>
      <w:proofErr w:type="spellEnd"/>
      <w:r w:rsidR="009143B1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, менее 10 мл/мин.). </w:t>
      </w:r>
    </w:p>
    <w:p w:rsidR="009143B1" w:rsidRPr="00DA7485" w:rsidRDefault="00E745CE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Меры предосторожности:</w:t>
      </w:r>
    </w:p>
    <w:p w:rsidR="009143B1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Препарат следует применять с осторожностью пациентам с хронической почечной недостаточностью, пожилого возраста (возможно снижение клубочковой фильтрации). Если у вас есть непереносимость некоторых сахаров, посоветуйтесь с </w:t>
      </w:r>
      <w:r w:rsidR="00FF35BA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врачом,</w:t>
      </w: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прежде чем принимать это лекарственное средство. Пациентам с редкими наследственными проблемами непереносимости галактозы, де</w:t>
      </w:r>
      <w:r w:rsidR="00B447DB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фицита </w:t>
      </w:r>
      <w:proofErr w:type="spellStart"/>
      <w:r w:rsidR="00B447DB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лактазы</w:t>
      </w:r>
      <w:proofErr w:type="spellEnd"/>
      <w:r w:rsidR="00B447DB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или </w:t>
      </w:r>
      <w:proofErr w:type="spellStart"/>
      <w:r w:rsidR="00B447DB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глюкозо</w:t>
      </w: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галактозной</w:t>
      </w:r>
      <w:proofErr w:type="spellEnd"/>
      <w:r w:rsidR="00DA7485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</w:t>
      </w: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мальабсорбции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не следует принимать </w:t>
      </w:r>
      <w:proofErr w:type="spellStart"/>
      <w:r w:rsidR="00B447DB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Аллер</w:t>
      </w:r>
      <w:proofErr w:type="spellEnd"/>
      <w:r w:rsidR="00B447DB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</w:t>
      </w: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СТОП таблетки.  Прием препарата необходимо прекратить не позже, чем за 48 часов до проведения кожных диагностических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аллергопроб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, для предотвращения ошибочных результатов. Применять с осторожностью у пациентов с предрасположенностью к задержке мочи, так как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цетиризин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повышает риск его развития. </w:t>
      </w:r>
    </w:p>
    <w:p w:rsidR="00E745CE" w:rsidRPr="00DA7485" w:rsidRDefault="00E745CE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При объективной оценке способности к вождению автотранспорта и управлению механизмами достоверно не выявлено каких-либо нежелательных явлений при приеме препарата в исследуемой дозе. Но, тем не менее, в период применения препарата целесообразно воздерживаться от занятий потенциально опасными видами деятельности, требующими повышенной концентрации и быстроты психомоторных реакций.</w:t>
      </w:r>
    </w:p>
    <w:p w:rsidR="00DA7485" w:rsidRPr="00DA7485" w:rsidRDefault="00DA7485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</w:p>
    <w:p w:rsidR="00DA7485" w:rsidRPr="00DA7485" w:rsidRDefault="00DA7485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</w:p>
    <w:p w:rsidR="00E745CE" w:rsidRPr="00DA7485" w:rsidRDefault="00E745CE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lastRenderedPageBreak/>
        <w:t>Способ применения:</w:t>
      </w:r>
    </w:p>
    <w:p w:rsidR="00FF35BA" w:rsidRPr="00DA7485" w:rsidRDefault="009143B1" w:rsidP="00FF35BA">
      <w:pPr>
        <w:rPr>
          <w:rFonts w:ascii="Times New Roman" w:eastAsia="Calibri" w:hAnsi="Times New Roman" w:cs="Times New Roman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 xml:space="preserve"> </w:t>
      </w:r>
      <w:r w:rsidR="00E745CE" w:rsidRPr="00DA7485">
        <w:rPr>
          <w:rFonts w:ascii="Times New Roman" w:eastAsia="Calibri" w:hAnsi="Times New Roman" w:cs="Times New Roman"/>
          <w:sz w:val="18"/>
          <w:szCs w:val="18"/>
        </w:rPr>
        <w:t>Для приема внутрь. Длительность курса лечения определяется врачом.</w:t>
      </w:r>
      <w:r w:rsidR="00FF35BA" w:rsidRPr="00DA7485">
        <w:rPr>
          <w:rFonts w:ascii="Times New Roman" w:hAnsi="Times New Roman" w:cs="Times New Roman"/>
          <w:sz w:val="18"/>
          <w:szCs w:val="18"/>
        </w:rPr>
        <w:t xml:space="preserve"> </w:t>
      </w:r>
      <w:r w:rsidR="00FF35BA" w:rsidRPr="00DA7485">
        <w:rPr>
          <w:rFonts w:ascii="Times New Roman" w:eastAsia="Calibri" w:hAnsi="Times New Roman" w:cs="Times New Roman"/>
          <w:sz w:val="18"/>
          <w:szCs w:val="18"/>
        </w:rPr>
        <w:t>Иногда начальной дозы 5 мг может быть достаточно для достижения терапевтического эффекта.</w:t>
      </w:r>
    </w:p>
    <w:p w:rsidR="00FF35BA" w:rsidRPr="00DA7485" w:rsidRDefault="00FF35BA" w:rsidP="00FF35BA">
      <w:pPr>
        <w:rPr>
          <w:rFonts w:ascii="Times New Roman" w:eastAsia="Calibri" w:hAnsi="Times New Roman" w:cs="Times New Roman"/>
          <w:b/>
          <w:sz w:val="18"/>
          <w:szCs w:val="18"/>
        </w:rPr>
      </w:pPr>
      <w:r w:rsidRPr="00DA7485">
        <w:rPr>
          <w:rFonts w:ascii="Times New Roman" w:eastAsia="Calibri" w:hAnsi="Times New Roman" w:cs="Times New Roman"/>
          <w:sz w:val="18"/>
          <w:szCs w:val="18"/>
        </w:rPr>
        <w:t>Препарат рекомендуется принимать:</w:t>
      </w:r>
    </w:p>
    <w:p w:rsidR="00FF35BA" w:rsidRPr="00DA7485" w:rsidRDefault="00FF35BA" w:rsidP="00FF35BA">
      <w:pPr>
        <w:spacing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DA7485">
        <w:rPr>
          <w:rFonts w:ascii="Times New Roman" w:eastAsia="Calibri" w:hAnsi="Times New Roman" w:cs="Times New Roman"/>
          <w:i/>
          <w:iCs/>
          <w:sz w:val="18"/>
          <w:szCs w:val="18"/>
        </w:rPr>
        <w:t>Детям</w:t>
      </w:r>
      <w:r w:rsidR="00E745CE" w:rsidRPr="00DA7485">
        <w:rPr>
          <w:rFonts w:ascii="Times New Roman" w:eastAsia="Calibri" w:hAnsi="Times New Roman" w:cs="Times New Roman"/>
          <w:i/>
          <w:iCs/>
          <w:sz w:val="18"/>
          <w:szCs w:val="18"/>
        </w:rPr>
        <w:t> в возрасте от 2 до 6 лет</w:t>
      </w:r>
      <w:r w:rsidR="00E745CE" w:rsidRPr="00DA7485">
        <w:rPr>
          <w:rFonts w:ascii="Times New Roman" w:eastAsia="Calibri" w:hAnsi="Times New Roman" w:cs="Times New Roman"/>
          <w:sz w:val="18"/>
          <w:szCs w:val="18"/>
        </w:rPr>
        <w:t>: 2,5 мг  2 раза  в день.</w:t>
      </w:r>
    </w:p>
    <w:p w:rsidR="00E745CE" w:rsidRPr="00DA7485" w:rsidRDefault="00FF35BA" w:rsidP="00FF35BA">
      <w:pPr>
        <w:spacing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DA7485">
        <w:rPr>
          <w:rFonts w:ascii="Times New Roman" w:eastAsia="Calibri" w:hAnsi="Times New Roman" w:cs="Times New Roman"/>
          <w:i/>
          <w:iCs/>
          <w:sz w:val="18"/>
          <w:szCs w:val="18"/>
        </w:rPr>
        <w:t>Детям</w:t>
      </w:r>
      <w:r w:rsidR="00E745CE" w:rsidRPr="00DA7485">
        <w:rPr>
          <w:rFonts w:ascii="Times New Roman" w:eastAsia="Calibri" w:hAnsi="Times New Roman" w:cs="Times New Roman"/>
          <w:i/>
          <w:iCs/>
          <w:sz w:val="18"/>
          <w:szCs w:val="18"/>
        </w:rPr>
        <w:t> в возрасте от 6 до 12 лет</w:t>
      </w:r>
      <w:r w:rsidR="00E745CE" w:rsidRPr="00DA7485">
        <w:rPr>
          <w:rFonts w:ascii="Times New Roman" w:eastAsia="Calibri" w:hAnsi="Times New Roman" w:cs="Times New Roman"/>
          <w:sz w:val="18"/>
          <w:szCs w:val="18"/>
        </w:rPr>
        <w:t>: 5 мг  2 раза  в день.</w:t>
      </w:r>
    </w:p>
    <w:p w:rsidR="00E745CE" w:rsidRPr="00DA7485" w:rsidRDefault="00FF35BA" w:rsidP="00FF35BA">
      <w:pPr>
        <w:spacing w:after="160" w:line="240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DA7485">
        <w:rPr>
          <w:rFonts w:ascii="Times New Roman" w:eastAsia="Calibri" w:hAnsi="Times New Roman" w:cs="Times New Roman"/>
          <w:i/>
          <w:iCs/>
          <w:sz w:val="18"/>
          <w:szCs w:val="18"/>
        </w:rPr>
        <w:t>Взрослым и подросткам</w:t>
      </w:r>
      <w:r w:rsidR="00E745CE" w:rsidRPr="00DA7485">
        <w:rPr>
          <w:rFonts w:ascii="Times New Roman" w:eastAsia="Calibri" w:hAnsi="Times New Roman" w:cs="Times New Roman"/>
          <w:i/>
          <w:iCs/>
          <w:sz w:val="18"/>
          <w:szCs w:val="18"/>
        </w:rPr>
        <w:t> старше 12 лет</w:t>
      </w:r>
      <w:r w:rsidR="00E745CE" w:rsidRPr="00DA7485">
        <w:rPr>
          <w:rFonts w:ascii="Times New Roman" w:eastAsia="Calibri" w:hAnsi="Times New Roman" w:cs="Times New Roman"/>
          <w:sz w:val="18"/>
          <w:szCs w:val="18"/>
        </w:rPr>
        <w:t xml:space="preserve">: 10 мг  1  раз в сутки. </w:t>
      </w:r>
    </w:p>
    <w:p w:rsidR="009143B1" w:rsidRPr="00DA7485" w:rsidRDefault="00C70B8E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Побочные явления:</w:t>
      </w:r>
    </w:p>
    <w:p w:rsidR="00063F8F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Со стороны пищеварительной системы: сухость во рту, редко –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диспептические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расстройства;</w:t>
      </w:r>
    </w:p>
    <w:p w:rsidR="00063F8F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Со стороны ЦНС: возможно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нерезко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выраженная и быстро проходящая сонливость, головная боль, головокружение, в отдельных случаях – возбуждение; </w:t>
      </w:r>
    </w:p>
    <w:p w:rsidR="00063F8F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Аллергические реакции: очень редко – кожные проявления, ангионевротический отек. </w:t>
      </w:r>
    </w:p>
    <w:p w:rsidR="00063F8F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А также возможны: тромбоцитопения, лейкопения,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агранулоцитоз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, затрудненное мочеиспускание, задержка мочи, дизурия, </w:t>
      </w:r>
      <w:proofErr w:type="spellStart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гепатобиллиарные</w:t>
      </w:r>
      <w:proofErr w:type="spellEnd"/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нарушения.</w:t>
      </w:r>
    </w:p>
    <w:p w:rsidR="009143B1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Препарат в целом хорошо переносится. Побочные явления возникают редко, обычно имеют слабо выраженный и транзиторный характер. </w:t>
      </w:r>
    </w:p>
    <w:p w:rsidR="009143B1" w:rsidRPr="00DA7485" w:rsidRDefault="00063F8F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Условия хранения:</w:t>
      </w:r>
    </w:p>
    <w:p w:rsidR="00FF35BA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Хранить при те</w:t>
      </w:r>
      <w:r w:rsidR="00063F8F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мпературе   </w:t>
      </w:r>
      <w:r w:rsidR="00CF7632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не выше </w:t>
      </w: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25</w:t>
      </w:r>
      <w:proofErr w:type="gramStart"/>
      <w:r w:rsidR="00FF35BA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</w:t>
      </w:r>
      <w:r w:rsidR="00DA7485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</w:t>
      </w: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°</w:t>
      </w:r>
      <w:r w:rsidR="00063F8F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С</w:t>
      </w:r>
      <w:proofErr w:type="gramEnd"/>
      <w:r w:rsidR="00063F8F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в недоступном для детей месте</w:t>
      </w: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. </w:t>
      </w:r>
    </w:p>
    <w:p w:rsidR="009143B1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Препарат нельзя использовать после истечения срока годности.</w:t>
      </w:r>
    </w:p>
    <w:p w:rsidR="009143B1" w:rsidRPr="00DA7485" w:rsidRDefault="00063F8F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Форма выпуска:</w:t>
      </w:r>
    </w:p>
    <w:p w:rsidR="009143B1" w:rsidRPr="00DA7485" w:rsidRDefault="009143B1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Таблетки по 10 мг, в упаковке 20 таблеток.</w:t>
      </w:r>
    </w:p>
    <w:p w:rsidR="009143B1" w:rsidRPr="00DA7485" w:rsidRDefault="00063F8F" w:rsidP="00922515">
      <w:pPr>
        <w:spacing w:after="0"/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b/>
          <w:color w:val="404040" w:themeColor="text1" w:themeTint="BF"/>
          <w:sz w:val="18"/>
          <w:szCs w:val="18"/>
        </w:rPr>
        <w:t>Условия отпуска:</w:t>
      </w:r>
    </w:p>
    <w:p w:rsidR="009143B1" w:rsidRPr="00DA7485" w:rsidRDefault="00063F8F" w:rsidP="00922515">
      <w:pPr>
        <w:spacing w:after="0"/>
        <w:rPr>
          <w:rFonts w:ascii="Times New Roman" w:hAnsi="Times New Roman" w:cs="Times New Roman"/>
          <w:color w:val="404040" w:themeColor="text1" w:themeTint="BF"/>
          <w:sz w:val="18"/>
          <w:szCs w:val="18"/>
        </w:rPr>
      </w:pPr>
      <w:r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>Без рецепта врача.</w:t>
      </w:r>
      <w:r w:rsidR="009143B1" w:rsidRPr="00DA7485">
        <w:rPr>
          <w:rFonts w:ascii="Times New Roman" w:hAnsi="Times New Roman" w:cs="Times New Roman"/>
          <w:color w:val="404040" w:themeColor="text1" w:themeTint="BF"/>
          <w:sz w:val="18"/>
          <w:szCs w:val="18"/>
        </w:rPr>
        <w:t xml:space="preserve">  </w:t>
      </w:r>
    </w:p>
    <w:p w:rsidR="00FF35BA" w:rsidRPr="00DA7485" w:rsidRDefault="00FF35BA" w:rsidP="00922515">
      <w:pPr>
        <w:pStyle w:val="3"/>
        <w:spacing w:before="0" w:beforeAutospacing="0" w:after="0" w:afterAutospacing="0"/>
        <w:rPr>
          <w:color w:val="404040" w:themeColor="text1" w:themeTint="BF"/>
          <w:sz w:val="18"/>
          <w:szCs w:val="18"/>
        </w:rPr>
      </w:pPr>
    </w:p>
    <w:p w:rsidR="009143B1" w:rsidRPr="00DA7485" w:rsidRDefault="009143B1" w:rsidP="00922515">
      <w:pPr>
        <w:pStyle w:val="3"/>
        <w:spacing w:before="0" w:beforeAutospacing="0" w:after="0" w:afterAutospacing="0"/>
        <w:rPr>
          <w:color w:val="404040" w:themeColor="text1" w:themeTint="BF"/>
          <w:sz w:val="18"/>
          <w:szCs w:val="18"/>
        </w:rPr>
      </w:pPr>
      <w:r w:rsidRPr="00DA7485">
        <w:rPr>
          <w:color w:val="404040" w:themeColor="text1" w:themeTint="BF"/>
          <w:sz w:val="18"/>
          <w:szCs w:val="18"/>
        </w:rPr>
        <w:t>Произведено для:</w:t>
      </w:r>
    </w:p>
    <w:p w:rsidR="009143B1" w:rsidRPr="00DA7485" w:rsidRDefault="009143B1" w:rsidP="00922515">
      <w:pPr>
        <w:pStyle w:val="3"/>
        <w:spacing w:before="0" w:beforeAutospacing="0" w:after="0" w:afterAutospacing="0"/>
        <w:rPr>
          <w:color w:val="404040" w:themeColor="text1" w:themeTint="BF"/>
          <w:sz w:val="18"/>
          <w:szCs w:val="18"/>
        </w:rPr>
      </w:pPr>
      <w:r w:rsidRPr="00DA7485">
        <w:rPr>
          <w:color w:val="404040" w:themeColor="text1" w:themeTint="BF"/>
          <w:sz w:val="18"/>
          <w:szCs w:val="18"/>
        </w:rPr>
        <w:t>MAXX-PHARM LTD.</w:t>
      </w:r>
    </w:p>
    <w:p w:rsidR="009143B1" w:rsidRPr="00DA7485" w:rsidRDefault="009143B1" w:rsidP="00922515">
      <w:pPr>
        <w:pStyle w:val="3"/>
        <w:spacing w:before="0" w:beforeAutospacing="0" w:after="0" w:afterAutospacing="0"/>
        <w:rPr>
          <w:color w:val="404040" w:themeColor="text1" w:themeTint="BF"/>
          <w:sz w:val="18"/>
          <w:szCs w:val="18"/>
        </w:rPr>
      </w:pPr>
      <w:r w:rsidRPr="00DA7485">
        <w:rPr>
          <w:color w:val="404040" w:themeColor="text1" w:themeTint="BF"/>
          <w:sz w:val="18"/>
          <w:szCs w:val="18"/>
        </w:rPr>
        <w:t>Лондон, Великобритания</w:t>
      </w:r>
    </w:p>
    <w:p w:rsidR="009143B1" w:rsidRPr="00DA7485" w:rsidRDefault="009143B1" w:rsidP="00922515">
      <w:pPr>
        <w:pStyle w:val="3"/>
        <w:spacing w:before="0" w:beforeAutospacing="0" w:after="0" w:afterAutospacing="0"/>
        <w:rPr>
          <w:color w:val="404040" w:themeColor="text1" w:themeTint="BF"/>
          <w:sz w:val="18"/>
          <w:szCs w:val="18"/>
        </w:rPr>
      </w:pPr>
    </w:p>
    <w:p w:rsidR="00FF35BA" w:rsidRPr="00DA7485" w:rsidRDefault="00FF35BA" w:rsidP="00922515">
      <w:pPr>
        <w:pStyle w:val="3"/>
        <w:spacing w:before="0" w:beforeAutospacing="0" w:after="0" w:afterAutospacing="0"/>
        <w:rPr>
          <w:color w:val="404040" w:themeColor="text1" w:themeTint="BF"/>
          <w:sz w:val="18"/>
          <w:szCs w:val="18"/>
        </w:rPr>
      </w:pPr>
    </w:p>
    <w:p w:rsidR="009143B1" w:rsidRPr="00063F8F" w:rsidRDefault="009143B1" w:rsidP="00922515">
      <w:pPr>
        <w:spacing w:after="0"/>
        <w:rPr>
          <w:rFonts w:asciiTheme="majorHAnsi" w:hAnsiTheme="majorHAnsi"/>
          <w:color w:val="404040" w:themeColor="text1" w:themeTint="BF"/>
          <w:sz w:val="20"/>
        </w:rPr>
      </w:pPr>
      <w:bookmarkStart w:id="0" w:name="_GoBack"/>
      <w:bookmarkEnd w:id="0"/>
    </w:p>
    <w:sectPr w:rsidR="009143B1" w:rsidRPr="00063F8F" w:rsidSect="009143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85A" w:rsidRDefault="0005285A" w:rsidP="00D25398">
      <w:pPr>
        <w:spacing w:after="0" w:line="240" w:lineRule="auto"/>
      </w:pPr>
      <w:r>
        <w:separator/>
      </w:r>
    </w:p>
  </w:endnote>
  <w:endnote w:type="continuationSeparator" w:id="0">
    <w:p w:rsidR="0005285A" w:rsidRDefault="0005285A" w:rsidP="00D25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98" w:rsidRDefault="00D253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98" w:rsidRDefault="00D2539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98" w:rsidRDefault="00D253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85A" w:rsidRDefault="0005285A" w:rsidP="00D25398">
      <w:pPr>
        <w:spacing w:after="0" w:line="240" w:lineRule="auto"/>
      </w:pPr>
      <w:r>
        <w:separator/>
      </w:r>
    </w:p>
  </w:footnote>
  <w:footnote w:type="continuationSeparator" w:id="0">
    <w:p w:rsidR="0005285A" w:rsidRDefault="0005285A" w:rsidP="00D25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98" w:rsidRDefault="0005285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340501" o:spid="_x0000_s2053" type="#_x0000_t75" style="position:absolute;margin-left:0;margin-top:0;width:746.25pt;height:259.5pt;z-index:-251657216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98" w:rsidRDefault="0005285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340502" o:spid="_x0000_s2054" type="#_x0000_t75" style="position:absolute;margin-left:0;margin-top:0;width:746.25pt;height:259.5pt;z-index:-251656192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98" w:rsidRDefault="0005285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8340500" o:spid="_x0000_s2052" type="#_x0000_t75" style="position:absolute;margin-left:0;margin-top:0;width:746.25pt;height:259.5pt;z-index:-251658240;mso-position-horizontal:center;mso-position-horizontal-relative:margin;mso-position-vertical:center;mso-position-vertical-relative:margin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1049B"/>
    <w:multiLevelType w:val="hybridMultilevel"/>
    <w:tmpl w:val="BDA4B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CD2AF9"/>
    <w:multiLevelType w:val="hybridMultilevel"/>
    <w:tmpl w:val="BC441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496"/>
    <w:rsid w:val="0005285A"/>
    <w:rsid w:val="00063F8F"/>
    <w:rsid w:val="000A5154"/>
    <w:rsid w:val="001143FF"/>
    <w:rsid w:val="0033191C"/>
    <w:rsid w:val="003613C6"/>
    <w:rsid w:val="00375FDA"/>
    <w:rsid w:val="003D7330"/>
    <w:rsid w:val="004D0D92"/>
    <w:rsid w:val="004E5E9B"/>
    <w:rsid w:val="00584B39"/>
    <w:rsid w:val="006C0B27"/>
    <w:rsid w:val="00705605"/>
    <w:rsid w:val="009143B1"/>
    <w:rsid w:val="00922515"/>
    <w:rsid w:val="009D43F3"/>
    <w:rsid w:val="00A01DAD"/>
    <w:rsid w:val="00B447DB"/>
    <w:rsid w:val="00C70B8E"/>
    <w:rsid w:val="00CA5FC1"/>
    <w:rsid w:val="00CC52A9"/>
    <w:rsid w:val="00CD7E17"/>
    <w:rsid w:val="00CF7632"/>
    <w:rsid w:val="00D25398"/>
    <w:rsid w:val="00DA7485"/>
    <w:rsid w:val="00DE1513"/>
    <w:rsid w:val="00E745CE"/>
    <w:rsid w:val="00FE2D76"/>
    <w:rsid w:val="00FF0496"/>
    <w:rsid w:val="00FF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43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43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25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5398"/>
  </w:style>
  <w:style w:type="paragraph" w:styleId="a5">
    <w:name w:val="footer"/>
    <w:basedOn w:val="a"/>
    <w:link w:val="a6"/>
    <w:uiPriority w:val="99"/>
    <w:unhideWhenUsed/>
    <w:rsid w:val="00D25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5398"/>
  </w:style>
  <w:style w:type="paragraph" w:styleId="a7">
    <w:name w:val="List Paragraph"/>
    <w:basedOn w:val="a"/>
    <w:uiPriority w:val="34"/>
    <w:qFormat/>
    <w:rsid w:val="00E745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43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43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25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5398"/>
  </w:style>
  <w:style w:type="paragraph" w:styleId="a5">
    <w:name w:val="footer"/>
    <w:basedOn w:val="a"/>
    <w:link w:val="a6"/>
    <w:uiPriority w:val="99"/>
    <w:unhideWhenUsed/>
    <w:rsid w:val="00D25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5398"/>
  </w:style>
  <w:style w:type="paragraph" w:styleId="a7">
    <w:name w:val="List Paragraph"/>
    <w:basedOn w:val="a"/>
    <w:uiPriority w:val="34"/>
    <w:qFormat/>
    <w:rsid w:val="00E74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21</cp:revision>
  <dcterms:created xsi:type="dcterms:W3CDTF">2019-08-23T11:46:00Z</dcterms:created>
  <dcterms:modified xsi:type="dcterms:W3CDTF">2024-01-22T03:11:00Z</dcterms:modified>
</cp:coreProperties>
</file>